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docMetadata/LabelInfo.xml" ContentType="application/vnd.ms-office.classificationlabel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B38" w:rsidRPr="00502B38" w:rsidRDefault="00502B38" w:rsidP="00502B38">
      <w:pPr>
        <w:jc w:val="center"/>
        <w:rPr>
          <w:rFonts w:ascii="Times New Roman" w:hAnsi="Times New Roman"/>
          <w:b/>
          <w:sz w:val="24"/>
        </w:rPr>
      </w:pPr>
    </w:p>
    <w:p w:rsidR="00502B38" w:rsidRPr="00502B38" w:rsidRDefault="00502B38" w:rsidP="00502B38">
      <w:pPr>
        <w:jc w:val="center"/>
        <w:rPr>
          <w:rFonts w:ascii="Times New Roman" w:hAnsi="Times New Roman"/>
          <w:b/>
          <w:sz w:val="24"/>
        </w:rPr>
      </w:pPr>
    </w:p>
    <w:p w:rsidR="00502B38" w:rsidRPr="00502B38" w:rsidRDefault="00502B38" w:rsidP="00502B38">
      <w:pPr>
        <w:jc w:val="center"/>
        <w:rPr>
          <w:rFonts w:ascii="Times New Roman" w:hAnsi="Times New Roman"/>
          <w:b/>
          <w:sz w:val="24"/>
        </w:rPr>
      </w:pPr>
    </w:p>
    <w:p w:rsidR="00502B38" w:rsidRPr="00502B38" w:rsidRDefault="00502B38" w:rsidP="00502B38">
      <w:pPr>
        <w:jc w:val="center"/>
        <w:rPr>
          <w:rFonts w:ascii="Times New Roman" w:hAnsi="Times New Roman"/>
          <w:b/>
          <w:sz w:val="24"/>
        </w:rPr>
      </w:pPr>
    </w:p>
    <w:p w:rsidR="00502B38" w:rsidRPr="00502B38" w:rsidRDefault="00502B38" w:rsidP="00502B38">
      <w:pPr>
        <w:jc w:val="center"/>
        <w:rPr>
          <w:rFonts w:ascii="Times New Roman" w:hAnsi="Times New Roman"/>
          <w:b/>
          <w:sz w:val="24"/>
        </w:rPr>
      </w:pPr>
    </w:p>
    <w:p w:rsidR="00502B38" w:rsidRPr="00502B38" w:rsidRDefault="00502B38" w:rsidP="00502B38">
      <w:pPr>
        <w:jc w:val="center"/>
        <w:rPr>
          <w:rFonts w:ascii="Times New Roman" w:hAnsi="Times New Roman"/>
          <w:b/>
          <w:sz w:val="24"/>
        </w:rPr>
      </w:pPr>
    </w:p>
    <w:p w:rsidR="00502B38" w:rsidRPr="00502B38" w:rsidRDefault="00502B38" w:rsidP="00502B38">
      <w:pPr>
        <w:jc w:val="center"/>
        <w:rPr>
          <w:rFonts w:ascii="Times New Roman" w:hAnsi="Times New Roman"/>
          <w:b/>
          <w:sz w:val="24"/>
        </w:rPr>
      </w:pPr>
    </w:p>
    <w:p w:rsidR="00502B38" w:rsidRPr="00502B38" w:rsidRDefault="00502B38" w:rsidP="00502B38">
      <w:pPr>
        <w:jc w:val="center"/>
        <w:rPr>
          <w:rFonts w:ascii="Times New Roman" w:hAnsi="Times New Roman"/>
          <w:b/>
          <w:sz w:val="24"/>
        </w:rPr>
      </w:pPr>
    </w:p>
    <w:p w:rsidR="00502B38" w:rsidRPr="00502B38" w:rsidRDefault="00502B38" w:rsidP="00502B38">
      <w:pPr>
        <w:jc w:val="center"/>
        <w:rPr>
          <w:rFonts w:ascii="Times New Roman" w:hAnsi="Times New Roman"/>
          <w:b/>
          <w:sz w:val="24"/>
        </w:rPr>
      </w:pPr>
    </w:p>
    <w:p w:rsidR="00502B38" w:rsidRPr="00502B38" w:rsidRDefault="00502B38" w:rsidP="00502B38">
      <w:pPr>
        <w:jc w:val="center"/>
        <w:rPr>
          <w:rFonts w:ascii="Times New Roman" w:hAnsi="Times New Roman"/>
          <w:b/>
          <w:sz w:val="24"/>
        </w:rPr>
      </w:pPr>
    </w:p>
    <w:p w:rsidR="00502B38" w:rsidRPr="00502B38" w:rsidRDefault="00502B38" w:rsidP="00502B38">
      <w:pPr>
        <w:jc w:val="center"/>
        <w:rPr>
          <w:rFonts w:ascii="Times New Roman" w:hAnsi="Times New Roman"/>
          <w:b/>
          <w:sz w:val="24"/>
        </w:rPr>
      </w:pPr>
      <w:r w:rsidRPr="00502B38">
        <w:rPr>
          <w:rFonts w:ascii="Times New Roman" w:hAnsi="Times New Roman"/>
          <w:b/>
          <w:sz w:val="24"/>
        </w:rPr>
        <w:t>Risk Mitigation</w:t>
      </w:r>
    </w:p>
    <w:p w:rsidR="00502B38" w:rsidRPr="00502B38" w:rsidRDefault="00502B38" w:rsidP="00502B38">
      <w:pPr>
        <w:rPr>
          <w:rFonts w:ascii="Times New Roman" w:hAnsi="Times New Roman"/>
          <w:sz w:val="24"/>
        </w:rPr>
      </w:pPr>
    </w:p>
    <w:p w:rsidR="00502B38" w:rsidRPr="00502B38" w:rsidRDefault="00502B38" w:rsidP="00502B38">
      <w:pPr>
        <w:rPr>
          <w:rFonts w:ascii="Times New Roman" w:hAnsi="Times New Roman"/>
          <w:sz w:val="24"/>
        </w:rPr>
      </w:pPr>
    </w:p>
    <w:p w:rsidR="00502B38" w:rsidRPr="00502B38" w:rsidRDefault="00502B38" w:rsidP="00502B38">
      <w:pPr>
        <w:spacing w:line="480" w:lineRule="auto"/>
        <w:jc w:val="center"/>
        <w:rPr>
          <w:rFonts w:ascii="Times New Roman" w:hAnsi="Times New Roman"/>
          <w:sz w:val="24"/>
        </w:rPr>
      </w:pPr>
      <w:r w:rsidRPr="00502B38">
        <w:rPr>
          <w:rFonts w:ascii="Times New Roman" w:hAnsi="Times New Roman"/>
          <w:sz w:val="24"/>
        </w:rPr>
        <w:t>Student’s Name:</w:t>
      </w:r>
    </w:p>
    <w:p w:rsidR="00502B38" w:rsidRPr="00502B38" w:rsidRDefault="00502B38" w:rsidP="00502B38">
      <w:pPr>
        <w:spacing w:line="480" w:lineRule="auto"/>
        <w:jc w:val="center"/>
        <w:rPr>
          <w:rFonts w:ascii="Times New Roman" w:hAnsi="Times New Roman"/>
          <w:sz w:val="24"/>
        </w:rPr>
      </w:pPr>
      <w:r w:rsidRPr="00502B38">
        <w:rPr>
          <w:rFonts w:ascii="Times New Roman" w:hAnsi="Times New Roman"/>
          <w:sz w:val="24"/>
        </w:rPr>
        <w:t>Institution:</w:t>
      </w:r>
    </w:p>
    <w:p w:rsidR="00502B38" w:rsidRPr="00502B38" w:rsidRDefault="00502B38" w:rsidP="00502B38">
      <w:pPr>
        <w:spacing w:line="480" w:lineRule="auto"/>
        <w:jc w:val="center"/>
        <w:rPr>
          <w:rFonts w:ascii="Times New Roman" w:hAnsi="Times New Roman"/>
          <w:sz w:val="24"/>
        </w:rPr>
      </w:pPr>
      <w:r w:rsidRPr="00502B38">
        <w:rPr>
          <w:rFonts w:ascii="Times New Roman" w:hAnsi="Times New Roman"/>
          <w:sz w:val="24"/>
        </w:rPr>
        <w:t>Course:</w:t>
      </w:r>
    </w:p>
    <w:p w:rsidR="00502B38" w:rsidRPr="00502B38" w:rsidRDefault="00502B38" w:rsidP="00502B38">
      <w:pPr>
        <w:spacing w:line="480" w:lineRule="auto"/>
        <w:jc w:val="center"/>
        <w:rPr>
          <w:rFonts w:ascii="Times New Roman" w:hAnsi="Times New Roman"/>
          <w:sz w:val="24"/>
        </w:rPr>
      </w:pPr>
      <w:r w:rsidRPr="00502B38">
        <w:rPr>
          <w:rFonts w:ascii="Times New Roman" w:hAnsi="Times New Roman"/>
          <w:sz w:val="24"/>
        </w:rPr>
        <w:t>Professor:</w:t>
      </w:r>
    </w:p>
    <w:p w:rsidR="00502B38" w:rsidRPr="00502B38" w:rsidRDefault="00502B38" w:rsidP="00502B38">
      <w:pPr>
        <w:spacing w:line="480" w:lineRule="auto"/>
        <w:jc w:val="center"/>
        <w:rPr>
          <w:rFonts w:ascii="Times New Roman" w:hAnsi="Times New Roman"/>
          <w:sz w:val="24"/>
        </w:rPr>
      </w:pPr>
      <w:r w:rsidRPr="00502B38">
        <w:rPr>
          <w:rFonts w:ascii="Times New Roman" w:hAnsi="Times New Roman"/>
          <w:sz w:val="24"/>
        </w:rPr>
        <w:t>Date:</w:t>
      </w:r>
    </w:p>
    <w:p w:rsidR="00502B38" w:rsidRPr="00502B38" w:rsidRDefault="00502B38">
      <w:pPr>
        <w:rPr>
          <w:rFonts w:ascii="Times New Roman" w:hAnsi="Times New Roman"/>
          <w:b/>
          <w:bCs/>
          <w:color w:val="000000"/>
          <w:sz w:val="24"/>
        </w:rPr>
      </w:pPr>
      <w:r w:rsidRPr="00502B38">
        <w:rPr>
          <w:rFonts w:ascii="Times New Roman" w:hAnsi="Times New Roman"/>
          <w:sz w:val="24"/>
        </w:rPr>
        <w:br w:type="page"/>
      </w:r>
    </w:p>
    <w:p w:rsidR="00A7349D" w:rsidRPr="00502B38" w:rsidRDefault="00B433D2" w:rsidP="00502B38">
      <w:pPr>
        <w:pStyle w:val="Heading2"/>
        <w:spacing w:before="0" w:after="0" w:line="480" w:lineRule="auto"/>
        <w:jc w:val="center"/>
        <w:rPr>
          <w:rFonts w:ascii="Times New Roman" w:hAnsi="Times New Roman" w:cs="Times New Roman"/>
          <w:sz w:val="24"/>
          <w:szCs w:val="24"/>
        </w:rPr>
      </w:pPr>
      <w:r w:rsidRPr="00502B38">
        <w:rPr>
          <w:rFonts w:ascii="Times New Roman" w:hAnsi="Times New Roman" w:cs="Times New Roman"/>
          <w:sz w:val="24"/>
          <w:szCs w:val="24"/>
        </w:rPr>
        <w:lastRenderedPageBreak/>
        <w:t>Risk Management Plan</w:t>
      </w:r>
    </w:p>
    <w:tbl>
      <w:tblPr>
        <w:tblStyle w:val="TableGrid"/>
        <w:tblW w:w="0" w:type="auto"/>
        <w:tblLook w:val="04A0"/>
      </w:tblPr>
      <w:tblGrid>
        <w:gridCol w:w="4069"/>
        <w:gridCol w:w="2607"/>
        <w:gridCol w:w="1811"/>
        <w:gridCol w:w="4325"/>
      </w:tblGrid>
      <w:tr w:rsidR="00DB4A2B" w:rsidRPr="00502B38" w:rsidTr="0062776A">
        <w:trPr>
          <w:trHeight w:val="147"/>
        </w:trPr>
        <w:tc>
          <w:tcPr>
            <w:tcW w:w="4069" w:type="dxa"/>
          </w:tcPr>
          <w:p w:rsidR="0062776A" w:rsidRPr="00502B38" w:rsidRDefault="00B433D2" w:rsidP="001544C3">
            <w:pPr>
              <w:pStyle w:val="BodyText"/>
              <w:spacing w:before="0" w:after="0" w:line="480" w:lineRule="auto"/>
              <w:rPr>
                <w:rFonts w:ascii="Times New Roman" w:hAnsi="Times New Roman"/>
                <w:b/>
                <w:bCs/>
                <w:sz w:val="24"/>
              </w:rPr>
            </w:pPr>
            <w:r w:rsidRPr="00502B38">
              <w:rPr>
                <w:rFonts w:ascii="Times New Roman" w:hAnsi="Times New Roman"/>
                <w:b/>
                <w:bCs/>
                <w:sz w:val="24"/>
              </w:rPr>
              <w:t>Risk identified by SAFER Guides</w:t>
            </w:r>
          </w:p>
        </w:tc>
        <w:tc>
          <w:tcPr>
            <w:tcW w:w="2607" w:type="dxa"/>
          </w:tcPr>
          <w:p w:rsidR="0062776A" w:rsidRPr="00502B38" w:rsidRDefault="00B433D2" w:rsidP="001544C3">
            <w:pPr>
              <w:pStyle w:val="BodyText"/>
              <w:spacing w:before="0" w:after="0" w:line="480" w:lineRule="auto"/>
              <w:rPr>
                <w:rFonts w:ascii="Times New Roman" w:hAnsi="Times New Roman"/>
                <w:b/>
                <w:bCs/>
                <w:sz w:val="24"/>
              </w:rPr>
            </w:pPr>
            <w:r w:rsidRPr="00502B38">
              <w:rPr>
                <w:rFonts w:ascii="Times New Roman" w:hAnsi="Times New Roman"/>
                <w:b/>
                <w:bCs/>
                <w:sz w:val="24"/>
              </w:rPr>
              <w:t>Possibility of Occurrence(Frequent, Sometimes, Never)</w:t>
            </w:r>
          </w:p>
        </w:tc>
        <w:tc>
          <w:tcPr>
            <w:tcW w:w="1811" w:type="dxa"/>
          </w:tcPr>
          <w:p w:rsidR="0062776A" w:rsidRPr="00502B38" w:rsidRDefault="00B433D2" w:rsidP="001544C3">
            <w:pPr>
              <w:pStyle w:val="BodyText"/>
              <w:spacing w:before="0" w:after="0" w:line="480" w:lineRule="auto"/>
              <w:rPr>
                <w:rFonts w:ascii="Times New Roman" w:hAnsi="Times New Roman"/>
                <w:b/>
                <w:bCs/>
                <w:sz w:val="24"/>
              </w:rPr>
            </w:pPr>
            <w:r w:rsidRPr="00502B38">
              <w:rPr>
                <w:rFonts w:ascii="Times New Roman" w:hAnsi="Times New Roman"/>
                <w:b/>
                <w:bCs/>
                <w:sz w:val="24"/>
              </w:rPr>
              <w:t>Potential for Harm(Severe, Mild, None)</w:t>
            </w:r>
          </w:p>
        </w:tc>
        <w:tc>
          <w:tcPr>
            <w:tcW w:w="4325" w:type="dxa"/>
          </w:tcPr>
          <w:p w:rsidR="0062776A" w:rsidRPr="00502B38" w:rsidRDefault="00B433D2" w:rsidP="001544C3">
            <w:pPr>
              <w:pStyle w:val="BodyText"/>
              <w:spacing w:before="0" w:after="0" w:line="480" w:lineRule="auto"/>
              <w:rPr>
                <w:rFonts w:ascii="Times New Roman" w:hAnsi="Times New Roman"/>
                <w:b/>
                <w:bCs/>
                <w:sz w:val="24"/>
              </w:rPr>
            </w:pPr>
            <w:r w:rsidRPr="00502B38">
              <w:rPr>
                <w:rFonts w:ascii="Times New Roman" w:hAnsi="Times New Roman"/>
                <w:b/>
                <w:bCs/>
                <w:sz w:val="24"/>
              </w:rPr>
              <w:t>Mitigation to address risks</w:t>
            </w:r>
          </w:p>
        </w:tc>
      </w:tr>
      <w:tr w:rsidR="00DB4A2B" w:rsidRPr="00502B38" w:rsidTr="0062776A">
        <w:trPr>
          <w:trHeight w:val="147"/>
        </w:trPr>
        <w:tc>
          <w:tcPr>
            <w:tcW w:w="4069" w:type="dxa"/>
          </w:tcPr>
          <w:p w:rsidR="0062776A" w:rsidRPr="00502B38" w:rsidRDefault="00B433D2" w:rsidP="001544C3">
            <w:pPr>
              <w:pStyle w:val="BodyText"/>
              <w:spacing w:before="0" w:after="0" w:line="480" w:lineRule="auto"/>
              <w:rPr>
                <w:rFonts w:ascii="Times New Roman" w:hAnsi="Times New Roman"/>
                <w:sz w:val="24"/>
              </w:rPr>
            </w:pPr>
            <w:r w:rsidRPr="00502B38">
              <w:rPr>
                <w:rFonts w:ascii="Times New Roman" w:hAnsi="Times New Roman"/>
                <w:sz w:val="24"/>
              </w:rPr>
              <w:t xml:space="preserve">Not standardized abbreviations and acronyms </w:t>
            </w:r>
          </w:p>
        </w:tc>
        <w:tc>
          <w:tcPr>
            <w:tcW w:w="2607" w:type="dxa"/>
          </w:tcPr>
          <w:p w:rsidR="0062776A" w:rsidRPr="00502B38" w:rsidRDefault="00B433D2" w:rsidP="001544C3">
            <w:pPr>
              <w:pStyle w:val="BodyText"/>
              <w:spacing w:before="0" w:after="0" w:line="480" w:lineRule="auto"/>
              <w:rPr>
                <w:rFonts w:ascii="Times New Roman" w:hAnsi="Times New Roman"/>
                <w:sz w:val="24"/>
              </w:rPr>
            </w:pPr>
            <w:r w:rsidRPr="00502B38">
              <w:rPr>
                <w:rFonts w:ascii="Times New Roman" w:hAnsi="Times New Roman"/>
                <w:sz w:val="24"/>
              </w:rPr>
              <w:t xml:space="preserve"> Sometimes</w:t>
            </w:r>
          </w:p>
        </w:tc>
        <w:tc>
          <w:tcPr>
            <w:tcW w:w="1811" w:type="dxa"/>
          </w:tcPr>
          <w:p w:rsidR="0062776A" w:rsidRPr="00502B38" w:rsidRDefault="00B433D2" w:rsidP="001544C3">
            <w:pPr>
              <w:pStyle w:val="BodyText"/>
              <w:spacing w:before="0" w:after="0" w:line="480" w:lineRule="auto"/>
              <w:rPr>
                <w:rFonts w:ascii="Times New Roman" w:hAnsi="Times New Roman"/>
                <w:sz w:val="24"/>
              </w:rPr>
            </w:pPr>
            <w:r w:rsidRPr="00502B38">
              <w:rPr>
                <w:rFonts w:ascii="Times New Roman" w:hAnsi="Times New Roman"/>
                <w:sz w:val="24"/>
              </w:rPr>
              <w:t>Mild</w:t>
            </w:r>
          </w:p>
        </w:tc>
        <w:tc>
          <w:tcPr>
            <w:tcW w:w="4325" w:type="dxa"/>
          </w:tcPr>
          <w:p w:rsidR="0062776A" w:rsidRPr="00502B38" w:rsidRDefault="00B433D2" w:rsidP="001544C3">
            <w:pPr>
              <w:pStyle w:val="BodyText"/>
              <w:spacing w:before="0" w:after="0" w:line="480" w:lineRule="auto"/>
              <w:rPr>
                <w:rFonts w:ascii="Times New Roman" w:hAnsi="Times New Roman"/>
                <w:sz w:val="24"/>
              </w:rPr>
            </w:pPr>
            <w:r w:rsidRPr="00502B38">
              <w:rPr>
                <w:rFonts w:ascii="Times New Roman" w:hAnsi="Times New Roman"/>
                <w:sz w:val="24"/>
              </w:rPr>
              <w:t>Standardization of abbreviations and acronyms</w:t>
            </w:r>
          </w:p>
        </w:tc>
      </w:tr>
      <w:tr w:rsidR="00DB4A2B" w:rsidRPr="00502B38" w:rsidTr="0062776A">
        <w:trPr>
          <w:trHeight w:val="1008"/>
        </w:trPr>
        <w:tc>
          <w:tcPr>
            <w:tcW w:w="4069" w:type="dxa"/>
          </w:tcPr>
          <w:p w:rsidR="0062776A" w:rsidRPr="00502B38" w:rsidRDefault="00B433D2" w:rsidP="001544C3">
            <w:pPr>
              <w:pStyle w:val="BodyText"/>
              <w:spacing w:before="0" w:after="0" w:line="480" w:lineRule="auto"/>
              <w:rPr>
                <w:rFonts w:ascii="Times New Roman" w:hAnsi="Times New Roman"/>
                <w:sz w:val="24"/>
              </w:rPr>
            </w:pPr>
            <w:r w:rsidRPr="00502B38">
              <w:rPr>
                <w:rFonts w:ascii="Times New Roman" w:hAnsi="Times New Roman"/>
                <w:sz w:val="24"/>
              </w:rPr>
              <w:t>Lack of additional safeguards like double checking in EHR</w:t>
            </w:r>
          </w:p>
        </w:tc>
        <w:tc>
          <w:tcPr>
            <w:tcW w:w="2607" w:type="dxa"/>
          </w:tcPr>
          <w:p w:rsidR="0062776A" w:rsidRPr="00502B38" w:rsidRDefault="00B433D2" w:rsidP="001544C3">
            <w:pPr>
              <w:pStyle w:val="BodyText"/>
              <w:spacing w:before="0" w:after="0" w:line="480" w:lineRule="auto"/>
              <w:rPr>
                <w:rFonts w:ascii="Times New Roman" w:hAnsi="Times New Roman"/>
                <w:sz w:val="24"/>
              </w:rPr>
            </w:pPr>
            <w:r w:rsidRPr="00502B38">
              <w:rPr>
                <w:rFonts w:ascii="Times New Roman" w:hAnsi="Times New Roman"/>
                <w:sz w:val="24"/>
              </w:rPr>
              <w:t>Frequent</w:t>
            </w:r>
          </w:p>
        </w:tc>
        <w:tc>
          <w:tcPr>
            <w:tcW w:w="1811" w:type="dxa"/>
          </w:tcPr>
          <w:p w:rsidR="0062776A" w:rsidRPr="00502B38" w:rsidRDefault="00B433D2" w:rsidP="001544C3">
            <w:pPr>
              <w:pStyle w:val="BodyText"/>
              <w:spacing w:before="0" w:after="0" w:line="480" w:lineRule="auto"/>
              <w:rPr>
                <w:rFonts w:ascii="Times New Roman" w:hAnsi="Times New Roman"/>
                <w:sz w:val="24"/>
              </w:rPr>
            </w:pPr>
            <w:r w:rsidRPr="00502B38">
              <w:rPr>
                <w:rFonts w:ascii="Times New Roman" w:hAnsi="Times New Roman"/>
                <w:sz w:val="24"/>
              </w:rPr>
              <w:t>Severe</w:t>
            </w:r>
          </w:p>
        </w:tc>
        <w:tc>
          <w:tcPr>
            <w:tcW w:w="4325" w:type="dxa"/>
          </w:tcPr>
          <w:p w:rsidR="0062776A" w:rsidRPr="00502B38" w:rsidRDefault="00B433D2" w:rsidP="001544C3">
            <w:pPr>
              <w:pStyle w:val="BodyText"/>
              <w:spacing w:before="0" w:after="0" w:line="480" w:lineRule="auto"/>
              <w:rPr>
                <w:rFonts w:ascii="Times New Roman" w:hAnsi="Times New Roman"/>
                <w:sz w:val="24"/>
              </w:rPr>
            </w:pPr>
            <w:r w:rsidRPr="00502B38">
              <w:rPr>
                <w:rFonts w:ascii="Times New Roman" w:hAnsi="Times New Roman"/>
                <w:sz w:val="24"/>
              </w:rPr>
              <w:t>Introduces double-checking features when prescribing high-risk medications</w:t>
            </w:r>
          </w:p>
        </w:tc>
      </w:tr>
      <w:tr w:rsidR="00DB4A2B" w:rsidRPr="00502B38" w:rsidTr="0062776A">
        <w:trPr>
          <w:trHeight w:val="1054"/>
        </w:trPr>
        <w:tc>
          <w:tcPr>
            <w:tcW w:w="4069" w:type="dxa"/>
          </w:tcPr>
          <w:p w:rsidR="0062776A" w:rsidRPr="00502B38" w:rsidRDefault="00B433D2" w:rsidP="001544C3">
            <w:pPr>
              <w:pStyle w:val="BodyText"/>
              <w:spacing w:before="0" w:after="0" w:line="480" w:lineRule="auto"/>
              <w:rPr>
                <w:rFonts w:ascii="Times New Roman" w:hAnsi="Times New Roman"/>
                <w:sz w:val="24"/>
              </w:rPr>
            </w:pPr>
            <w:r w:rsidRPr="00502B38">
              <w:rPr>
                <w:rFonts w:ascii="Times New Roman" w:hAnsi="Times New Roman"/>
                <w:sz w:val="24"/>
              </w:rPr>
              <w:t xml:space="preserve">The user-entered orderable items are not matched to </w:t>
            </w:r>
            <w:r w:rsidRPr="00502B38">
              <w:rPr>
                <w:rFonts w:ascii="Times New Roman" w:hAnsi="Times New Roman"/>
                <w:sz w:val="24"/>
              </w:rPr>
              <w:t>the list of standard terms</w:t>
            </w:r>
          </w:p>
        </w:tc>
        <w:tc>
          <w:tcPr>
            <w:tcW w:w="2607" w:type="dxa"/>
          </w:tcPr>
          <w:p w:rsidR="0062776A" w:rsidRPr="00502B38" w:rsidRDefault="00B433D2" w:rsidP="001544C3">
            <w:pPr>
              <w:pStyle w:val="BodyText"/>
              <w:spacing w:before="0" w:after="0" w:line="480" w:lineRule="auto"/>
              <w:rPr>
                <w:rFonts w:ascii="Times New Roman" w:hAnsi="Times New Roman"/>
                <w:sz w:val="24"/>
              </w:rPr>
            </w:pPr>
            <w:r w:rsidRPr="00502B38">
              <w:rPr>
                <w:rFonts w:ascii="Times New Roman" w:hAnsi="Times New Roman"/>
                <w:sz w:val="24"/>
              </w:rPr>
              <w:t>Sometimes</w:t>
            </w:r>
          </w:p>
        </w:tc>
        <w:tc>
          <w:tcPr>
            <w:tcW w:w="1811" w:type="dxa"/>
          </w:tcPr>
          <w:p w:rsidR="0062776A" w:rsidRPr="00502B38" w:rsidRDefault="00B433D2" w:rsidP="001544C3">
            <w:pPr>
              <w:pStyle w:val="BodyText"/>
              <w:spacing w:before="0" w:after="0" w:line="480" w:lineRule="auto"/>
              <w:rPr>
                <w:rFonts w:ascii="Times New Roman" w:hAnsi="Times New Roman"/>
                <w:sz w:val="24"/>
              </w:rPr>
            </w:pPr>
            <w:r w:rsidRPr="00502B38">
              <w:rPr>
                <w:rFonts w:ascii="Times New Roman" w:hAnsi="Times New Roman"/>
                <w:sz w:val="24"/>
              </w:rPr>
              <w:t>None</w:t>
            </w:r>
          </w:p>
        </w:tc>
        <w:tc>
          <w:tcPr>
            <w:tcW w:w="4325" w:type="dxa"/>
          </w:tcPr>
          <w:p w:rsidR="0062776A" w:rsidRPr="00502B38" w:rsidRDefault="00B433D2" w:rsidP="001544C3">
            <w:pPr>
              <w:pStyle w:val="BodyText"/>
              <w:spacing w:before="0" w:after="0" w:line="480" w:lineRule="auto"/>
              <w:rPr>
                <w:rFonts w:ascii="Times New Roman" w:hAnsi="Times New Roman"/>
                <w:sz w:val="24"/>
              </w:rPr>
            </w:pPr>
            <w:r w:rsidRPr="00502B38">
              <w:rPr>
                <w:rFonts w:ascii="Times New Roman" w:hAnsi="Times New Roman"/>
                <w:sz w:val="24"/>
              </w:rPr>
              <w:t>Matching the user-entered orderable items to the list of standard terms</w:t>
            </w:r>
          </w:p>
        </w:tc>
      </w:tr>
      <w:tr w:rsidR="00DB4A2B" w:rsidRPr="00502B38" w:rsidTr="0062776A">
        <w:trPr>
          <w:trHeight w:val="147"/>
        </w:trPr>
        <w:tc>
          <w:tcPr>
            <w:tcW w:w="4069" w:type="dxa"/>
          </w:tcPr>
          <w:p w:rsidR="0062776A" w:rsidRPr="00502B38" w:rsidRDefault="00B433D2" w:rsidP="001544C3">
            <w:pPr>
              <w:pStyle w:val="BodyText"/>
              <w:spacing w:before="0" w:after="0" w:line="480" w:lineRule="auto"/>
              <w:rPr>
                <w:rFonts w:ascii="Times New Roman" w:hAnsi="Times New Roman"/>
                <w:sz w:val="24"/>
              </w:rPr>
            </w:pPr>
            <w:r w:rsidRPr="00502B38">
              <w:rPr>
                <w:rFonts w:ascii="Times New Roman" w:hAnsi="Times New Roman"/>
                <w:sz w:val="24"/>
              </w:rPr>
              <w:t>Medical record numbers do not incorporate a “check digit” to prevent data entry errors</w:t>
            </w:r>
          </w:p>
        </w:tc>
        <w:tc>
          <w:tcPr>
            <w:tcW w:w="2607" w:type="dxa"/>
          </w:tcPr>
          <w:p w:rsidR="0062776A" w:rsidRPr="00502B38" w:rsidRDefault="00B433D2" w:rsidP="001544C3">
            <w:pPr>
              <w:pStyle w:val="BodyText"/>
              <w:spacing w:before="0" w:after="0" w:line="480" w:lineRule="auto"/>
              <w:rPr>
                <w:rFonts w:ascii="Times New Roman" w:hAnsi="Times New Roman"/>
                <w:sz w:val="24"/>
              </w:rPr>
            </w:pPr>
            <w:r w:rsidRPr="00502B38">
              <w:rPr>
                <w:rFonts w:ascii="Times New Roman" w:hAnsi="Times New Roman"/>
                <w:sz w:val="24"/>
              </w:rPr>
              <w:t>Sometimes</w:t>
            </w:r>
          </w:p>
        </w:tc>
        <w:tc>
          <w:tcPr>
            <w:tcW w:w="1811" w:type="dxa"/>
          </w:tcPr>
          <w:p w:rsidR="0062776A" w:rsidRPr="00502B38" w:rsidRDefault="00B433D2" w:rsidP="001544C3">
            <w:pPr>
              <w:pStyle w:val="BodyText"/>
              <w:spacing w:before="0" w:after="0" w:line="480" w:lineRule="auto"/>
              <w:rPr>
                <w:rFonts w:ascii="Times New Roman" w:hAnsi="Times New Roman"/>
                <w:sz w:val="24"/>
              </w:rPr>
            </w:pPr>
            <w:r w:rsidRPr="00502B38">
              <w:rPr>
                <w:rFonts w:ascii="Times New Roman" w:hAnsi="Times New Roman"/>
                <w:sz w:val="24"/>
              </w:rPr>
              <w:t>Severe</w:t>
            </w:r>
          </w:p>
        </w:tc>
        <w:tc>
          <w:tcPr>
            <w:tcW w:w="4325" w:type="dxa"/>
          </w:tcPr>
          <w:p w:rsidR="0062776A" w:rsidRPr="00502B38" w:rsidRDefault="00B433D2" w:rsidP="001544C3">
            <w:pPr>
              <w:pStyle w:val="BodyText"/>
              <w:spacing w:before="0" w:after="0" w:line="480" w:lineRule="auto"/>
              <w:rPr>
                <w:rFonts w:ascii="Times New Roman" w:hAnsi="Times New Roman"/>
                <w:sz w:val="24"/>
              </w:rPr>
            </w:pPr>
            <w:r w:rsidRPr="00502B38">
              <w:rPr>
                <w:rFonts w:ascii="Times New Roman" w:hAnsi="Times New Roman"/>
                <w:sz w:val="24"/>
              </w:rPr>
              <w:t>Incorporate "Check digit" features on</w:t>
            </w:r>
            <w:r w:rsidRPr="00502B38">
              <w:rPr>
                <w:rFonts w:ascii="Times New Roman" w:hAnsi="Times New Roman"/>
                <w:sz w:val="24"/>
              </w:rPr>
              <w:t xml:space="preserve"> medical record numbers to mitigate data entry errors</w:t>
            </w:r>
          </w:p>
        </w:tc>
      </w:tr>
      <w:tr w:rsidR="00DB4A2B" w:rsidRPr="00502B38" w:rsidTr="0062776A">
        <w:trPr>
          <w:trHeight w:val="1144"/>
        </w:trPr>
        <w:tc>
          <w:tcPr>
            <w:tcW w:w="4069" w:type="dxa"/>
          </w:tcPr>
          <w:p w:rsidR="0062776A" w:rsidRPr="00502B38" w:rsidRDefault="00B433D2" w:rsidP="001544C3">
            <w:pPr>
              <w:pStyle w:val="BodyText"/>
              <w:spacing w:before="0" w:after="0" w:line="480" w:lineRule="auto"/>
              <w:rPr>
                <w:rFonts w:ascii="Times New Roman" w:hAnsi="Times New Roman"/>
                <w:sz w:val="24"/>
              </w:rPr>
            </w:pPr>
            <w:r w:rsidRPr="00502B38">
              <w:rPr>
                <w:rFonts w:ascii="Times New Roman" w:hAnsi="Times New Roman"/>
                <w:sz w:val="24"/>
              </w:rPr>
              <w:t xml:space="preserve">There is no assigning of a temporary unique patient ID if the patient </w:t>
            </w:r>
            <w:r w:rsidRPr="00502B38">
              <w:rPr>
                <w:rFonts w:ascii="Times New Roman" w:hAnsi="Times New Roman"/>
                <w:sz w:val="24"/>
              </w:rPr>
              <w:lastRenderedPageBreak/>
              <w:t>registration system is unavailable</w:t>
            </w:r>
          </w:p>
        </w:tc>
        <w:tc>
          <w:tcPr>
            <w:tcW w:w="2607" w:type="dxa"/>
          </w:tcPr>
          <w:p w:rsidR="0062776A" w:rsidRPr="00502B38" w:rsidRDefault="00B433D2" w:rsidP="001544C3">
            <w:pPr>
              <w:pStyle w:val="BodyText"/>
              <w:spacing w:before="0" w:after="0" w:line="480" w:lineRule="auto"/>
              <w:rPr>
                <w:rFonts w:ascii="Times New Roman" w:hAnsi="Times New Roman"/>
                <w:sz w:val="24"/>
              </w:rPr>
            </w:pPr>
            <w:r w:rsidRPr="00502B38">
              <w:rPr>
                <w:rFonts w:ascii="Times New Roman" w:hAnsi="Times New Roman"/>
                <w:sz w:val="24"/>
              </w:rPr>
              <w:lastRenderedPageBreak/>
              <w:t>Sometimes</w:t>
            </w:r>
          </w:p>
        </w:tc>
        <w:tc>
          <w:tcPr>
            <w:tcW w:w="1811" w:type="dxa"/>
          </w:tcPr>
          <w:p w:rsidR="0062776A" w:rsidRPr="00502B38" w:rsidRDefault="00B433D2" w:rsidP="001544C3">
            <w:pPr>
              <w:pStyle w:val="BodyText"/>
              <w:spacing w:before="0" w:after="0" w:line="480" w:lineRule="auto"/>
              <w:rPr>
                <w:rFonts w:ascii="Times New Roman" w:hAnsi="Times New Roman"/>
                <w:sz w:val="24"/>
              </w:rPr>
            </w:pPr>
            <w:r w:rsidRPr="00502B38">
              <w:rPr>
                <w:rFonts w:ascii="Times New Roman" w:hAnsi="Times New Roman"/>
                <w:sz w:val="24"/>
              </w:rPr>
              <w:t>Mild</w:t>
            </w:r>
          </w:p>
        </w:tc>
        <w:tc>
          <w:tcPr>
            <w:tcW w:w="4325" w:type="dxa"/>
          </w:tcPr>
          <w:p w:rsidR="0062776A" w:rsidRPr="00502B38" w:rsidRDefault="00B433D2" w:rsidP="001544C3">
            <w:pPr>
              <w:pStyle w:val="BodyText"/>
              <w:spacing w:before="0" w:after="0" w:line="480" w:lineRule="auto"/>
              <w:rPr>
                <w:rFonts w:ascii="Times New Roman" w:hAnsi="Times New Roman"/>
                <w:sz w:val="24"/>
              </w:rPr>
            </w:pPr>
            <w:r w:rsidRPr="00502B38">
              <w:rPr>
                <w:rFonts w:ascii="Times New Roman" w:hAnsi="Times New Roman"/>
                <w:sz w:val="24"/>
              </w:rPr>
              <w:t xml:space="preserve">Assign temporary unique patient IDs for situations where the registration system </w:t>
            </w:r>
            <w:r w:rsidRPr="00502B38">
              <w:rPr>
                <w:rFonts w:ascii="Times New Roman" w:hAnsi="Times New Roman"/>
                <w:sz w:val="24"/>
              </w:rPr>
              <w:lastRenderedPageBreak/>
              <w:t>breaks down</w:t>
            </w:r>
          </w:p>
        </w:tc>
      </w:tr>
      <w:tr w:rsidR="00DB4A2B" w:rsidRPr="00502B38" w:rsidTr="0062776A">
        <w:trPr>
          <w:trHeight w:val="1217"/>
        </w:trPr>
        <w:tc>
          <w:tcPr>
            <w:tcW w:w="4069" w:type="dxa"/>
          </w:tcPr>
          <w:p w:rsidR="0062776A" w:rsidRPr="00502B38" w:rsidRDefault="00B433D2" w:rsidP="001544C3">
            <w:pPr>
              <w:pStyle w:val="BodyText"/>
              <w:spacing w:before="0" w:after="0" w:line="480" w:lineRule="auto"/>
              <w:rPr>
                <w:rFonts w:ascii="Times New Roman" w:hAnsi="Times New Roman"/>
                <w:sz w:val="24"/>
              </w:rPr>
            </w:pPr>
            <w:r w:rsidRPr="00502B38">
              <w:rPr>
                <w:rFonts w:ascii="Times New Roman" w:hAnsi="Times New Roman"/>
                <w:sz w:val="24"/>
              </w:rPr>
              <w:lastRenderedPageBreak/>
              <w:t>The EHR does not limit the number of patient records displayed on the same computer at the same time to one</w:t>
            </w:r>
          </w:p>
        </w:tc>
        <w:tc>
          <w:tcPr>
            <w:tcW w:w="2607" w:type="dxa"/>
          </w:tcPr>
          <w:p w:rsidR="0062776A" w:rsidRPr="00502B38" w:rsidRDefault="00B433D2" w:rsidP="001544C3">
            <w:pPr>
              <w:pStyle w:val="BodyText"/>
              <w:spacing w:before="0" w:after="0" w:line="480" w:lineRule="auto"/>
              <w:rPr>
                <w:rFonts w:ascii="Times New Roman" w:hAnsi="Times New Roman"/>
                <w:sz w:val="24"/>
              </w:rPr>
            </w:pPr>
            <w:r w:rsidRPr="00502B38">
              <w:rPr>
                <w:rFonts w:ascii="Times New Roman" w:hAnsi="Times New Roman"/>
                <w:sz w:val="24"/>
              </w:rPr>
              <w:t>Frequent</w:t>
            </w:r>
          </w:p>
        </w:tc>
        <w:tc>
          <w:tcPr>
            <w:tcW w:w="1811" w:type="dxa"/>
          </w:tcPr>
          <w:p w:rsidR="0062776A" w:rsidRPr="00502B38" w:rsidRDefault="00B433D2" w:rsidP="001544C3">
            <w:pPr>
              <w:pStyle w:val="BodyText"/>
              <w:spacing w:before="0" w:after="0" w:line="480" w:lineRule="auto"/>
              <w:rPr>
                <w:rFonts w:ascii="Times New Roman" w:hAnsi="Times New Roman"/>
                <w:sz w:val="24"/>
              </w:rPr>
            </w:pPr>
            <w:r w:rsidRPr="00502B38">
              <w:rPr>
                <w:rFonts w:ascii="Times New Roman" w:hAnsi="Times New Roman"/>
                <w:sz w:val="24"/>
              </w:rPr>
              <w:t>None</w:t>
            </w:r>
          </w:p>
        </w:tc>
        <w:tc>
          <w:tcPr>
            <w:tcW w:w="4325" w:type="dxa"/>
          </w:tcPr>
          <w:p w:rsidR="0062776A" w:rsidRPr="00502B38" w:rsidRDefault="00B433D2" w:rsidP="001544C3">
            <w:pPr>
              <w:pStyle w:val="BodyText"/>
              <w:spacing w:before="0" w:after="0" w:line="480" w:lineRule="auto"/>
              <w:rPr>
                <w:rFonts w:ascii="Times New Roman" w:hAnsi="Times New Roman"/>
                <w:sz w:val="24"/>
              </w:rPr>
            </w:pPr>
            <w:r w:rsidRPr="00502B38">
              <w:rPr>
                <w:rFonts w:ascii="Times New Roman" w:hAnsi="Times New Roman"/>
                <w:sz w:val="24"/>
              </w:rPr>
              <w:t>Reset the EHR system to limit the number of patient records displayed on a computer to one</w:t>
            </w:r>
          </w:p>
        </w:tc>
      </w:tr>
      <w:tr w:rsidR="00DB4A2B" w:rsidRPr="00502B38" w:rsidTr="0062776A">
        <w:trPr>
          <w:trHeight w:val="1190"/>
        </w:trPr>
        <w:tc>
          <w:tcPr>
            <w:tcW w:w="4069" w:type="dxa"/>
          </w:tcPr>
          <w:p w:rsidR="0062776A" w:rsidRPr="00502B38" w:rsidRDefault="00B433D2" w:rsidP="001544C3">
            <w:pPr>
              <w:pStyle w:val="BodyText"/>
              <w:spacing w:before="0" w:after="0" w:line="480" w:lineRule="auto"/>
              <w:rPr>
                <w:rFonts w:ascii="Times New Roman" w:hAnsi="Times New Roman"/>
                <w:sz w:val="24"/>
              </w:rPr>
            </w:pPr>
            <w:r w:rsidRPr="00502B38">
              <w:rPr>
                <w:rFonts w:ascii="Times New Roman" w:hAnsi="Times New Roman"/>
                <w:sz w:val="24"/>
              </w:rPr>
              <w:t xml:space="preserve">The EHR does not permit </w:t>
            </w:r>
            <w:r w:rsidRPr="00502B38">
              <w:rPr>
                <w:rFonts w:ascii="Times New Roman" w:hAnsi="Times New Roman"/>
                <w:sz w:val="24"/>
              </w:rPr>
              <w:t>nurses to evaluate their electronic communication status</w:t>
            </w:r>
          </w:p>
        </w:tc>
        <w:tc>
          <w:tcPr>
            <w:tcW w:w="2607" w:type="dxa"/>
          </w:tcPr>
          <w:p w:rsidR="0062776A" w:rsidRPr="00502B38" w:rsidRDefault="00B433D2" w:rsidP="001544C3">
            <w:pPr>
              <w:pStyle w:val="BodyText"/>
              <w:spacing w:before="0" w:after="0" w:line="480" w:lineRule="auto"/>
              <w:rPr>
                <w:rFonts w:ascii="Times New Roman" w:hAnsi="Times New Roman"/>
                <w:sz w:val="24"/>
              </w:rPr>
            </w:pPr>
            <w:r w:rsidRPr="00502B38">
              <w:rPr>
                <w:rFonts w:ascii="Times New Roman" w:hAnsi="Times New Roman"/>
                <w:sz w:val="24"/>
              </w:rPr>
              <w:t>Frequent</w:t>
            </w:r>
          </w:p>
        </w:tc>
        <w:tc>
          <w:tcPr>
            <w:tcW w:w="1811" w:type="dxa"/>
          </w:tcPr>
          <w:p w:rsidR="0062776A" w:rsidRPr="00502B38" w:rsidRDefault="00B433D2" w:rsidP="001544C3">
            <w:pPr>
              <w:pStyle w:val="BodyText"/>
              <w:spacing w:before="0" w:after="0" w:line="480" w:lineRule="auto"/>
              <w:rPr>
                <w:rFonts w:ascii="Times New Roman" w:hAnsi="Times New Roman"/>
                <w:sz w:val="24"/>
              </w:rPr>
            </w:pPr>
            <w:r w:rsidRPr="00502B38">
              <w:rPr>
                <w:rFonts w:ascii="Times New Roman" w:hAnsi="Times New Roman"/>
                <w:sz w:val="24"/>
              </w:rPr>
              <w:t>Mild</w:t>
            </w:r>
          </w:p>
        </w:tc>
        <w:tc>
          <w:tcPr>
            <w:tcW w:w="4325" w:type="dxa"/>
          </w:tcPr>
          <w:p w:rsidR="0062776A" w:rsidRPr="00502B38" w:rsidRDefault="00B433D2" w:rsidP="001544C3">
            <w:pPr>
              <w:pStyle w:val="BodyText"/>
              <w:spacing w:before="0" w:after="0" w:line="480" w:lineRule="auto"/>
              <w:rPr>
                <w:rFonts w:ascii="Times New Roman" w:hAnsi="Times New Roman"/>
                <w:sz w:val="24"/>
              </w:rPr>
            </w:pPr>
            <w:r w:rsidRPr="00502B38">
              <w:rPr>
                <w:rFonts w:ascii="Times New Roman" w:hAnsi="Times New Roman"/>
                <w:sz w:val="24"/>
              </w:rPr>
              <w:t xml:space="preserve">The EHR should introduce features that indicate if their electronic communication was delivered, opened, or acknowledged </w:t>
            </w:r>
          </w:p>
        </w:tc>
      </w:tr>
      <w:tr w:rsidR="00DB4A2B" w:rsidRPr="00502B38" w:rsidTr="0062776A">
        <w:trPr>
          <w:trHeight w:val="608"/>
        </w:trPr>
        <w:tc>
          <w:tcPr>
            <w:tcW w:w="4069" w:type="dxa"/>
          </w:tcPr>
          <w:p w:rsidR="0062776A" w:rsidRPr="00502B38" w:rsidRDefault="00B433D2" w:rsidP="001544C3">
            <w:pPr>
              <w:pStyle w:val="BodyText"/>
              <w:spacing w:before="0" w:after="0" w:line="480" w:lineRule="auto"/>
              <w:rPr>
                <w:rFonts w:ascii="Times New Roman" w:hAnsi="Times New Roman"/>
                <w:sz w:val="24"/>
              </w:rPr>
            </w:pPr>
            <w:r w:rsidRPr="00502B38">
              <w:rPr>
                <w:rFonts w:ascii="Times New Roman" w:hAnsi="Times New Roman"/>
                <w:sz w:val="24"/>
              </w:rPr>
              <w:t>The electronic message does not distinguish urgent messages</w:t>
            </w:r>
          </w:p>
        </w:tc>
        <w:tc>
          <w:tcPr>
            <w:tcW w:w="2607" w:type="dxa"/>
          </w:tcPr>
          <w:p w:rsidR="0062776A" w:rsidRPr="00502B38" w:rsidRDefault="00B433D2" w:rsidP="001544C3">
            <w:pPr>
              <w:pStyle w:val="BodyText"/>
              <w:spacing w:before="0" w:after="0" w:line="480" w:lineRule="auto"/>
              <w:rPr>
                <w:rFonts w:ascii="Times New Roman" w:hAnsi="Times New Roman"/>
                <w:sz w:val="24"/>
              </w:rPr>
            </w:pPr>
            <w:r w:rsidRPr="00502B38">
              <w:rPr>
                <w:rFonts w:ascii="Times New Roman" w:hAnsi="Times New Roman"/>
                <w:sz w:val="24"/>
              </w:rPr>
              <w:t>So</w:t>
            </w:r>
            <w:r w:rsidRPr="00502B38">
              <w:rPr>
                <w:rFonts w:ascii="Times New Roman" w:hAnsi="Times New Roman"/>
                <w:sz w:val="24"/>
              </w:rPr>
              <w:t>metimes</w:t>
            </w:r>
          </w:p>
        </w:tc>
        <w:tc>
          <w:tcPr>
            <w:tcW w:w="1811" w:type="dxa"/>
          </w:tcPr>
          <w:p w:rsidR="0062776A" w:rsidRPr="00502B38" w:rsidRDefault="00B433D2" w:rsidP="001544C3">
            <w:pPr>
              <w:pStyle w:val="BodyText"/>
              <w:spacing w:before="0" w:after="0" w:line="480" w:lineRule="auto"/>
              <w:rPr>
                <w:rFonts w:ascii="Times New Roman" w:hAnsi="Times New Roman"/>
                <w:sz w:val="24"/>
              </w:rPr>
            </w:pPr>
            <w:r w:rsidRPr="00502B38">
              <w:rPr>
                <w:rFonts w:ascii="Times New Roman" w:hAnsi="Times New Roman"/>
                <w:sz w:val="24"/>
              </w:rPr>
              <w:t>Severe</w:t>
            </w:r>
          </w:p>
        </w:tc>
        <w:tc>
          <w:tcPr>
            <w:tcW w:w="4325" w:type="dxa"/>
          </w:tcPr>
          <w:p w:rsidR="0062776A" w:rsidRPr="00502B38" w:rsidRDefault="00B433D2" w:rsidP="001544C3">
            <w:pPr>
              <w:pStyle w:val="BodyText"/>
              <w:spacing w:before="0" w:after="0" w:line="480" w:lineRule="auto"/>
              <w:rPr>
                <w:rFonts w:ascii="Times New Roman" w:hAnsi="Times New Roman"/>
                <w:sz w:val="24"/>
              </w:rPr>
            </w:pPr>
            <w:r w:rsidRPr="00502B38">
              <w:rPr>
                <w:rFonts w:ascii="Times New Roman" w:hAnsi="Times New Roman"/>
                <w:sz w:val="24"/>
              </w:rPr>
              <w:t>The electronic message should identify urgent messages</w:t>
            </w:r>
          </w:p>
        </w:tc>
      </w:tr>
      <w:tr w:rsidR="00DB4A2B" w:rsidRPr="00502B38" w:rsidTr="0062776A">
        <w:trPr>
          <w:trHeight w:val="899"/>
        </w:trPr>
        <w:tc>
          <w:tcPr>
            <w:tcW w:w="4069" w:type="dxa"/>
          </w:tcPr>
          <w:p w:rsidR="0062776A" w:rsidRPr="00502B38" w:rsidRDefault="00B433D2" w:rsidP="001544C3">
            <w:pPr>
              <w:pStyle w:val="BodyText"/>
              <w:spacing w:before="0" w:after="0" w:line="480" w:lineRule="auto"/>
              <w:rPr>
                <w:rFonts w:ascii="Times New Roman" w:hAnsi="Times New Roman"/>
                <w:sz w:val="24"/>
              </w:rPr>
            </w:pPr>
            <w:r w:rsidRPr="00502B38">
              <w:rPr>
                <w:rFonts w:ascii="Times New Roman" w:hAnsi="Times New Roman"/>
                <w:sz w:val="24"/>
              </w:rPr>
              <w:t>The EHR does not display time-sensitive and time-critical information</w:t>
            </w:r>
          </w:p>
        </w:tc>
        <w:tc>
          <w:tcPr>
            <w:tcW w:w="2607" w:type="dxa"/>
          </w:tcPr>
          <w:p w:rsidR="0062776A" w:rsidRPr="00502B38" w:rsidRDefault="00B433D2" w:rsidP="001544C3">
            <w:pPr>
              <w:pStyle w:val="BodyText"/>
              <w:spacing w:before="0" w:after="0" w:line="480" w:lineRule="auto"/>
              <w:rPr>
                <w:rFonts w:ascii="Times New Roman" w:hAnsi="Times New Roman"/>
                <w:sz w:val="24"/>
              </w:rPr>
            </w:pPr>
            <w:r w:rsidRPr="00502B38">
              <w:rPr>
                <w:rFonts w:ascii="Times New Roman" w:hAnsi="Times New Roman"/>
                <w:sz w:val="24"/>
              </w:rPr>
              <w:t>Sometimes</w:t>
            </w:r>
          </w:p>
        </w:tc>
        <w:tc>
          <w:tcPr>
            <w:tcW w:w="1811" w:type="dxa"/>
          </w:tcPr>
          <w:p w:rsidR="0062776A" w:rsidRPr="00502B38" w:rsidRDefault="00B433D2" w:rsidP="001544C3">
            <w:pPr>
              <w:pStyle w:val="BodyText"/>
              <w:spacing w:before="0" w:after="0" w:line="480" w:lineRule="auto"/>
              <w:rPr>
                <w:rFonts w:ascii="Times New Roman" w:hAnsi="Times New Roman"/>
                <w:sz w:val="24"/>
              </w:rPr>
            </w:pPr>
            <w:r w:rsidRPr="00502B38">
              <w:rPr>
                <w:rFonts w:ascii="Times New Roman" w:hAnsi="Times New Roman"/>
                <w:sz w:val="24"/>
              </w:rPr>
              <w:t>Severe</w:t>
            </w:r>
          </w:p>
        </w:tc>
        <w:tc>
          <w:tcPr>
            <w:tcW w:w="4325" w:type="dxa"/>
          </w:tcPr>
          <w:p w:rsidR="0062776A" w:rsidRPr="00502B38" w:rsidRDefault="00B433D2" w:rsidP="001544C3">
            <w:pPr>
              <w:pStyle w:val="BodyText"/>
              <w:spacing w:before="0" w:after="0" w:line="480" w:lineRule="auto"/>
              <w:rPr>
                <w:rFonts w:ascii="Times New Roman" w:hAnsi="Times New Roman"/>
                <w:sz w:val="24"/>
              </w:rPr>
            </w:pPr>
            <w:r w:rsidRPr="00502B38">
              <w:rPr>
                <w:rFonts w:ascii="Times New Roman" w:hAnsi="Times New Roman"/>
                <w:sz w:val="24"/>
              </w:rPr>
              <w:t>The EHR should display time-sensitive and time-critical information</w:t>
            </w:r>
          </w:p>
        </w:tc>
      </w:tr>
    </w:tbl>
    <w:p w:rsidR="005D2CB4" w:rsidRPr="00502B38" w:rsidRDefault="00B433D2" w:rsidP="001544C3">
      <w:pPr>
        <w:pStyle w:val="Heading2"/>
        <w:spacing w:before="0" w:after="0" w:line="480" w:lineRule="auto"/>
        <w:rPr>
          <w:rFonts w:ascii="Times New Roman" w:hAnsi="Times New Roman" w:cs="Times New Roman"/>
          <w:sz w:val="24"/>
          <w:szCs w:val="24"/>
        </w:rPr>
      </w:pPr>
      <w:r w:rsidRPr="00502B38">
        <w:rPr>
          <w:rFonts w:ascii="Times New Roman" w:hAnsi="Times New Roman" w:cs="Times New Roman"/>
          <w:sz w:val="24"/>
          <w:szCs w:val="24"/>
        </w:rPr>
        <w:t xml:space="preserve">Ethical or Legal Issues </w:t>
      </w:r>
      <w:r w:rsidRPr="00502B38">
        <w:rPr>
          <w:rFonts w:ascii="Times New Roman" w:hAnsi="Times New Roman" w:cs="Times New Roman"/>
          <w:sz w:val="24"/>
          <w:szCs w:val="24"/>
        </w:rPr>
        <w:t>Related to Identified Risks</w:t>
      </w:r>
    </w:p>
    <w:p w:rsidR="00627ACB" w:rsidRPr="00502B38" w:rsidRDefault="00B433D2" w:rsidP="001544C3">
      <w:pPr>
        <w:pStyle w:val="Heading2"/>
        <w:spacing w:before="0" w:after="0" w:line="480" w:lineRule="auto"/>
        <w:rPr>
          <w:rFonts w:ascii="Times New Roman" w:hAnsi="Times New Roman" w:cs="Times New Roman"/>
          <w:b w:val="0"/>
          <w:sz w:val="24"/>
          <w:szCs w:val="24"/>
        </w:rPr>
      </w:pPr>
      <w:r w:rsidRPr="00502B38">
        <w:rPr>
          <w:rFonts w:ascii="Times New Roman" w:hAnsi="Times New Roman" w:cs="Times New Roman"/>
          <w:b w:val="0"/>
          <w:sz w:val="24"/>
          <w:szCs w:val="24"/>
        </w:rPr>
        <w:tab/>
      </w:r>
      <w:r w:rsidR="002E5306" w:rsidRPr="00502B38">
        <w:rPr>
          <w:rFonts w:ascii="Times New Roman" w:hAnsi="Times New Roman" w:cs="Times New Roman"/>
          <w:b w:val="0"/>
          <w:sz w:val="24"/>
          <w:szCs w:val="24"/>
        </w:rPr>
        <w:t xml:space="preserve">The identified risks </w:t>
      </w:r>
      <w:r w:rsidR="005F6E19" w:rsidRPr="00502B38">
        <w:rPr>
          <w:rFonts w:ascii="Times New Roman" w:hAnsi="Times New Roman" w:cs="Times New Roman"/>
          <w:b w:val="0"/>
          <w:sz w:val="24"/>
          <w:szCs w:val="24"/>
        </w:rPr>
        <w:t>initiate</w:t>
      </w:r>
      <w:r w:rsidR="002E5306" w:rsidRPr="00502B38">
        <w:rPr>
          <w:rFonts w:ascii="Times New Roman" w:hAnsi="Times New Roman" w:cs="Times New Roman"/>
          <w:b w:val="0"/>
          <w:sz w:val="24"/>
          <w:szCs w:val="24"/>
        </w:rPr>
        <w:t xml:space="preserve"> ethical and legal dilemmas when </w:t>
      </w:r>
      <w:r w:rsidR="005F6E19" w:rsidRPr="00502B38">
        <w:rPr>
          <w:rFonts w:ascii="Times New Roman" w:hAnsi="Times New Roman" w:cs="Times New Roman"/>
          <w:b w:val="0"/>
          <w:sz w:val="24"/>
          <w:szCs w:val="24"/>
        </w:rPr>
        <w:t>appl</w:t>
      </w:r>
      <w:r w:rsidR="002E5306" w:rsidRPr="00502B38">
        <w:rPr>
          <w:rFonts w:ascii="Times New Roman" w:hAnsi="Times New Roman" w:cs="Times New Roman"/>
          <w:b w:val="0"/>
          <w:sz w:val="24"/>
          <w:szCs w:val="24"/>
        </w:rPr>
        <w:t xml:space="preserve">ying </w:t>
      </w:r>
      <w:r w:rsidR="005F6E19" w:rsidRPr="00502B38">
        <w:rPr>
          <w:rFonts w:ascii="Times New Roman" w:hAnsi="Times New Roman" w:cs="Times New Roman"/>
          <w:b w:val="0"/>
          <w:sz w:val="24"/>
          <w:szCs w:val="24"/>
        </w:rPr>
        <w:t xml:space="preserve">the </w:t>
      </w:r>
      <w:r w:rsidR="002E5306" w:rsidRPr="00502B38">
        <w:rPr>
          <w:rFonts w:ascii="Times New Roman" w:hAnsi="Times New Roman" w:cs="Times New Roman"/>
          <w:b w:val="0"/>
          <w:sz w:val="24"/>
          <w:szCs w:val="24"/>
        </w:rPr>
        <w:t xml:space="preserve">proposed EHR technology in clinical care practices. </w:t>
      </w:r>
      <w:r w:rsidR="005F6E19" w:rsidRPr="00502B38">
        <w:rPr>
          <w:rFonts w:ascii="Times New Roman" w:hAnsi="Times New Roman" w:cs="Times New Roman"/>
          <w:b w:val="0"/>
          <w:sz w:val="24"/>
          <w:szCs w:val="24"/>
        </w:rPr>
        <w:t>These issues range from patient privacy to the boundary of competency and exposure to harm. First, the limitation and gaps in the adopted technology impact the confidentiality of patients’ personal information</w:t>
      </w:r>
      <w:r w:rsidR="001544C3" w:rsidRPr="00502B38">
        <w:rPr>
          <w:rFonts w:ascii="Times New Roman" w:hAnsi="Times New Roman" w:cs="Times New Roman"/>
          <w:sz w:val="24"/>
          <w:szCs w:val="24"/>
        </w:rPr>
        <w:t xml:space="preserve"> </w:t>
      </w:r>
      <w:r w:rsidR="001544C3" w:rsidRPr="00502B38">
        <w:rPr>
          <w:rFonts w:ascii="Times New Roman" w:hAnsi="Times New Roman" w:cs="Times New Roman"/>
          <w:b w:val="0"/>
          <w:sz w:val="24"/>
          <w:szCs w:val="24"/>
        </w:rPr>
        <w:t>(American Psychological Association, 2017)</w:t>
      </w:r>
      <w:r w:rsidR="005F6E19" w:rsidRPr="00502B38">
        <w:rPr>
          <w:rFonts w:ascii="Times New Roman" w:hAnsi="Times New Roman" w:cs="Times New Roman"/>
          <w:b w:val="0"/>
          <w:sz w:val="24"/>
          <w:szCs w:val="24"/>
        </w:rPr>
        <w:t xml:space="preserve">. In this </w:t>
      </w:r>
      <w:r w:rsidR="005F6E19" w:rsidRPr="00502B38">
        <w:rPr>
          <w:rFonts w:ascii="Times New Roman" w:hAnsi="Times New Roman" w:cs="Times New Roman"/>
          <w:b w:val="0"/>
          <w:sz w:val="24"/>
          <w:szCs w:val="24"/>
        </w:rPr>
        <w:lastRenderedPageBreak/>
        <w:t xml:space="preserve">case, the SAFER Guides establish that the EHR fails to restrict the number of clients displayed on the same computer at the same time. This exposes patients' information to multiple clinicians without their consent and authorization. Similarly, privacy issues are evident </w:t>
      </w:r>
      <w:r w:rsidR="004D07A6" w:rsidRPr="00502B38">
        <w:rPr>
          <w:rFonts w:ascii="Times New Roman" w:hAnsi="Times New Roman" w:cs="Times New Roman"/>
          <w:b w:val="0"/>
          <w:sz w:val="24"/>
          <w:szCs w:val="24"/>
        </w:rPr>
        <w:t>when the adopted EHR system fails to assign a temporary-unique ID to patients when the registration system is unavailable. This exposes their confidential details to unauthorized users.</w:t>
      </w:r>
    </w:p>
    <w:p w:rsidR="004D07A6" w:rsidRPr="00502B38" w:rsidRDefault="00B433D2" w:rsidP="001544C3">
      <w:pPr>
        <w:pStyle w:val="BodyText"/>
        <w:spacing w:before="0" w:after="0" w:line="480" w:lineRule="auto"/>
        <w:rPr>
          <w:rFonts w:ascii="Times New Roman" w:hAnsi="Times New Roman"/>
          <w:sz w:val="24"/>
        </w:rPr>
      </w:pPr>
      <w:r w:rsidRPr="00502B38">
        <w:rPr>
          <w:rFonts w:ascii="Times New Roman" w:hAnsi="Times New Roman"/>
          <w:sz w:val="24"/>
        </w:rPr>
        <w:tab/>
        <w:t>Secondly, the identified risks subject patients</w:t>
      </w:r>
      <w:r w:rsidRPr="00502B38">
        <w:rPr>
          <w:rFonts w:ascii="Times New Roman" w:hAnsi="Times New Roman"/>
          <w:sz w:val="24"/>
        </w:rPr>
        <w:t xml:space="preserve"> to harm and injuries resulting from medical and prescription errors. For instance, the SAFER Guides indicate that the CPOE lacks standardized abbreviations and acronyms. This </w:t>
      </w:r>
      <w:r w:rsidR="00F66F44" w:rsidRPr="00502B38">
        <w:rPr>
          <w:rFonts w:ascii="Times New Roman" w:hAnsi="Times New Roman"/>
          <w:sz w:val="24"/>
        </w:rPr>
        <w:t xml:space="preserve">causes misinterpretation of clinical communications to impact </w:t>
      </w:r>
      <w:r w:rsidRPr="00502B38">
        <w:rPr>
          <w:rFonts w:ascii="Times New Roman" w:hAnsi="Times New Roman"/>
          <w:sz w:val="24"/>
        </w:rPr>
        <w:t xml:space="preserve">care coordination </w:t>
      </w:r>
      <w:r w:rsidRPr="00502B38">
        <w:rPr>
          <w:rFonts w:ascii="Times New Roman" w:hAnsi="Times New Roman"/>
          <w:sz w:val="24"/>
        </w:rPr>
        <w:t>during diagnosis, treatment, and medical prescriptions. Similarly,</w:t>
      </w:r>
      <w:r w:rsidR="00F66F44" w:rsidRPr="00502B38">
        <w:rPr>
          <w:rFonts w:ascii="Times New Roman" w:hAnsi="Times New Roman"/>
          <w:sz w:val="24"/>
        </w:rPr>
        <w:t xml:space="preserve"> the lack of additional safeguards like "double-clicking" in EHR affects the prescription of high-risk medication. It exposes patients to the unforeseeable danger of medication errors that affect their health. </w:t>
      </w:r>
      <w:r w:rsidR="0089656A" w:rsidRPr="00502B38">
        <w:rPr>
          <w:rFonts w:ascii="Times New Roman" w:hAnsi="Times New Roman"/>
          <w:sz w:val="24"/>
        </w:rPr>
        <w:t>Additionally</w:t>
      </w:r>
      <w:r w:rsidR="00F66F44" w:rsidRPr="00502B38">
        <w:rPr>
          <w:rFonts w:ascii="Times New Roman" w:hAnsi="Times New Roman"/>
          <w:sz w:val="24"/>
        </w:rPr>
        <w:t>, data entry errors subject patients to the risk of harm and i</w:t>
      </w:r>
      <w:r w:rsidR="0089656A" w:rsidRPr="00502B38">
        <w:rPr>
          <w:rFonts w:ascii="Times New Roman" w:hAnsi="Times New Roman"/>
          <w:sz w:val="24"/>
        </w:rPr>
        <w:t>njuries resulting from wrong diagnoses or prescription</w:t>
      </w:r>
      <w:r w:rsidR="001544C3" w:rsidRPr="00502B38">
        <w:rPr>
          <w:rFonts w:ascii="Times New Roman" w:hAnsi="Times New Roman"/>
          <w:sz w:val="24"/>
        </w:rPr>
        <w:t>s (American Psychological Association, 2017)</w:t>
      </w:r>
      <w:r w:rsidR="0089656A" w:rsidRPr="00502B38">
        <w:rPr>
          <w:rFonts w:ascii="Times New Roman" w:hAnsi="Times New Roman"/>
          <w:sz w:val="24"/>
        </w:rPr>
        <w:t xml:space="preserve">. This </w:t>
      </w:r>
      <w:r w:rsidR="003F0EFB" w:rsidRPr="00502B38">
        <w:rPr>
          <w:rFonts w:ascii="Times New Roman" w:hAnsi="Times New Roman"/>
          <w:sz w:val="24"/>
        </w:rPr>
        <w:t>is evident when</w:t>
      </w:r>
      <w:r w:rsidR="0089656A" w:rsidRPr="00502B38">
        <w:rPr>
          <w:rFonts w:ascii="Times New Roman" w:hAnsi="Times New Roman"/>
          <w:sz w:val="24"/>
        </w:rPr>
        <w:t xml:space="preserve"> the medical record number</w:t>
      </w:r>
      <w:r w:rsidR="003F0EFB" w:rsidRPr="00502B38">
        <w:rPr>
          <w:rFonts w:ascii="Times New Roman" w:hAnsi="Times New Roman"/>
          <w:sz w:val="24"/>
        </w:rPr>
        <w:t xml:space="preserve"> fails</w:t>
      </w:r>
      <w:r w:rsidR="0089656A" w:rsidRPr="00502B38">
        <w:rPr>
          <w:rFonts w:ascii="Times New Roman" w:hAnsi="Times New Roman"/>
          <w:sz w:val="24"/>
        </w:rPr>
        <w:t xml:space="preserve"> to incorporate a “check digit”</w:t>
      </w:r>
      <w:r w:rsidR="003F0EFB" w:rsidRPr="00502B38">
        <w:rPr>
          <w:rFonts w:ascii="Times New Roman" w:hAnsi="Times New Roman"/>
          <w:sz w:val="24"/>
        </w:rPr>
        <w:t>.</w:t>
      </w:r>
    </w:p>
    <w:p w:rsidR="004D07A6" w:rsidRPr="00502B38" w:rsidRDefault="00B433D2" w:rsidP="001544C3">
      <w:pPr>
        <w:pStyle w:val="BodyText"/>
        <w:spacing w:before="0" w:after="0" w:line="480" w:lineRule="auto"/>
        <w:rPr>
          <w:rFonts w:ascii="Times New Roman" w:hAnsi="Times New Roman"/>
          <w:sz w:val="24"/>
        </w:rPr>
      </w:pPr>
      <w:r w:rsidRPr="00502B38">
        <w:rPr>
          <w:rFonts w:ascii="Times New Roman" w:hAnsi="Times New Roman"/>
          <w:sz w:val="24"/>
        </w:rPr>
        <w:tab/>
        <w:t xml:space="preserve">Thirdly, the identified risk breach patients’ boundaries of competencies during the implementation of the proposed technology in clinical care. </w:t>
      </w:r>
      <w:r w:rsidR="00D13D6E" w:rsidRPr="00502B38">
        <w:rPr>
          <w:rFonts w:ascii="Times New Roman" w:hAnsi="Times New Roman"/>
          <w:sz w:val="24"/>
        </w:rPr>
        <w:t xml:space="preserve">For instance, the SAFER Guides establish that the EHR does not permit nurses to evaluate their electronic communication status. This limits them from determining whether or not the information was delivered, opened, or acknowledged. As a result, it hinders effective inter-professional collaboration and coordination with patients. Similarly, the technology fails to identify urgent messages and to display time-sensitive and time-critical information. This impacts their response to emergencies to mitigate adverse health complications.  </w:t>
      </w:r>
    </w:p>
    <w:p w:rsidR="00D13D6E" w:rsidRPr="00502B38" w:rsidRDefault="00B433D2" w:rsidP="001544C3">
      <w:pPr>
        <w:pStyle w:val="Heading2"/>
        <w:spacing w:before="0" w:after="0" w:line="480" w:lineRule="auto"/>
        <w:rPr>
          <w:rFonts w:ascii="Times New Roman" w:hAnsi="Times New Roman" w:cs="Times New Roman"/>
          <w:sz w:val="24"/>
          <w:szCs w:val="24"/>
        </w:rPr>
      </w:pPr>
      <w:r w:rsidRPr="00502B38">
        <w:rPr>
          <w:rFonts w:ascii="Times New Roman" w:hAnsi="Times New Roman" w:cs="Times New Roman"/>
          <w:sz w:val="24"/>
          <w:szCs w:val="24"/>
        </w:rPr>
        <w:lastRenderedPageBreak/>
        <w:t>Justification of Actions to Address Identified Risks</w:t>
      </w:r>
    </w:p>
    <w:p w:rsidR="00A644FC" w:rsidRPr="00502B38" w:rsidRDefault="00B433D2" w:rsidP="001544C3">
      <w:pPr>
        <w:spacing w:line="480" w:lineRule="auto"/>
        <w:rPr>
          <w:rFonts w:ascii="Times New Roman" w:hAnsi="Times New Roman"/>
          <w:iCs/>
          <w:sz w:val="24"/>
        </w:rPr>
      </w:pPr>
      <w:r w:rsidRPr="00502B38">
        <w:rPr>
          <w:rFonts w:ascii="Times New Roman" w:hAnsi="Times New Roman"/>
          <w:iCs/>
          <w:sz w:val="24"/>
        </w:rPr>
        <w:tab/>
        <w:t xml:space="preserve">The </w:t>
      </w:r>
      <w:r w:rsidRPr="00502B38">
        <w:rPr>
          <w:rFonts w:ascii="Times New Roman" w:hAnsi="Times New Roman"/>
          <w:iCs/>
          <w:sz w:val="24"/>
        </w:rPr>
        <w:t>justification for the need to address the identified risks is evident in the quality and safety improvements in nursing practice. First, multiple changes in the CPOE systems will boost coordination in clinical decision-making between various healthcare spe</w:t>
      </w:r>
      <w:r w:rsidRPr="00502B38">
        <w:rPr>
          <w:rFonts w:ascii="Times New Roman" w:hAnsi="Times New Roman"/>
          <w:iCs/>
          <w:sz w:val="24"/>
        </w:rPr>
        <w:t>cialists</w:t>
      </w:r>
      <w:r w:rsidR="001544C3" w:rsidRPr="00502B38">
        <w:rPr>
          <w:rFonts w:ascii="Times New Roman" w:hAnsi="Times New Roman"/>
          <w:sz w:val="24"/>
        </w:rPr>
        <w:t xml:space="preserve"> </w:t>
      </w:r>
      <w:r w:rsidR="001544C3" w:rsidRPr="00502B38">
        <w:rPr>
          <w:rFonts w:ascii="Times New Roman" w:hAnsi="Times New Roman"/>
          <w:iCs/>
          <w:sz w:val="24"/>
        </w:rPr>
        <w:t>(Young &amp; Nesbitt, 2017)</w:t>
      </w:r>
      <w:r w:rsidRPr="00502B38">
        <w:rPr>
          <w:rFonts w:ascii="Times New Roman" w:hAnsi="Times New Roman"/>
          <w:iCs/>
          <w:sz w:val="24"/>
        </w:rPr>
        <w:t xml:space="preserve">. For instance, standardization of abbreviations and acronyms enhances effective communication of critical patient information. Similarly, the "double checking" features on the CPOE enable accurate prescription of high-risk </w:t>
      </w:r>
      <w:r w:rsidRPr="00502B38">
        <w:rPr>
          <w:rFonts w:ascii="Times New Roman" w:hAnsi="Times New Roman"/>
          <w:iCs/>
          <w:sz w:val="24"/>
        </w:rPr>
        <w:t>medications in complex scenarios. Additionally, the EHR's capacity to match the user-entered orderable items to the list of standard terms enhances clinical decision-making. It ensures clinicians adhere to the set regulations that guide healthcare technolo</w:t>
      </w:r>
      <w:r w:rsidRPr="00502B38">
        <w:rPr>
          <w:rFonts w:ascii="Times New Roman" w:hAnsi="Times New Roman"/>
          <w:iCs/>
          <w:sz w:val="24"/>
        </w:rPr>
        <w:t xml:space="preserve">gy applications. </w:t>
      </w:r>
    </w:p>
    <w:p w:rsidR="00A644FC" w:rsidRPr="00502B38" w:rsidRDefault="00B433D2" w:rsidP="001544C3">
      <w:pPr>
        <w:spacing w:line="480" w:lineRule="auto"/>
        <w:rPr>
          <w:rFonts w:ascii="Times New Roman" w:hAnsi="Times New Roman"/>
          <w:iCs/>
          <w:sz w:val="24"/>
        </w:rPr>
      </w:pPr>
      <w:r w:rsidRPr="00502B38">
        <w:rPr>
          <w:rFonts w:ascii="Times New Roman" w:hAnsi="Times New Roman"/>
          <w:iCs/>
          <w:sz w:val="24"/>
        </w:rPr>
        <w:tab/>
        <w:t>Secondly, the changes boost effectiveness and accuracy in patient identification to minimize the risks of wrong prescriptions. For instance, the proposed EHR will incorporate "Check digit" features on medical record numbers to mitigate d</w:t>
      </w:r>
      <w:r w:rsidRPr="00502B38">
        <w:rPr>
          <w:rFonts w:ascii="Times New Roman" w:hAnsi="Times New Roman"/>
          <w:iCs/>
          <w:sz w:val="24"/>
        </w:rPr>
        <w:t>ata entry errors</w:t>
      </w:r>
      <w:r w:rsidR="001544C3" w:rsidRPr="00502B38">
        <w:rPr>
          <w:rFonts w:ascii="Times New Roman" w:hAnsi="Times New Roman"/>
          <w:sz w:val="24"/>
        </w:rPr>
        <w:t xml:space="preserve"> </w:t>
      </w:r>
      <w:r w:rsidR="001544C3" w:rsidRPr="00502B38">
        <w:rPr>
          <w:rFonts w:ascii="Times New Roman" w:hAnsi="Times New Roman"/>
          <w:iCs/>
          <w:sz w:val="24"/>
        </w:rPr>
        <w:t>(Jara et al., 2012)</w:t>
      </w:r>
      <w:r w:rsidRPr="00502B38">
        <w:rPr>
          <w:rFonts w:ascii="Times New Roman" w:hAnsi="Times New Roman"/>
          <w:iCs/>
          <w:sz w:val="24"/>
        </w:rPr>
        <w:t>. This ensures clinicians address health issues that are specific to a particular patient. Besides, the changes enable the temporary assignment of unique patient IDs, where the registration system breaks down. This minim</w:t>
      </w:r>
      <w:r w:rsidRPr="00502B38">
        <w:rPr>
          <w:rFonts w:ascii="Times New Roman" w:hAnsi="Times New Roman"/>
          <w:iCs/>
          <w:sz w:val="24"/>
        </w:rPr>
        <w:t xml:space="preserve">izes confusion and mix-up of patient health details. Furthermore, the changes ensure the EHR system limits the number of patient records displayed on a computer to one. As a result, clinicians can concentrate on every patient without distractions. </w:t>
      </w:r>
    </w:p>
    <w:p w:rsidR="00087D91" w:rsidRPr="00502B38" w:rsidRDefault="00B433D2" w:rsidP="001544C3">
      <w:pPr>
        <w:spacing w:line="480" w:lineRule="auto"/>
        <w:rPr>
          <w:rFonts w:ascii="Times New Roman" w:hAnsi="Times New Roman"/>
          <w:iCs/>
          <w:sz w:val="24"/>
        </w:rPr>
      </w:pPr>
      <w:r w:rsidRPr="00502B38">
        <w:rPr>
          <w:rFonts w:ascii="Times New Roman" w:hAnsi="Times New Roman"/>
          <w:iCs/>
          <w:sz w:val="24"/>
        </w:rPr>
        <w:tab/>
        <w:t>Thirdl</w:t>
      </w:r>
      <w:r w:rsidRPr="00502B38">
        <w:rPr>
          <w:rFonts w:ascii="Times New Roman" w:hAnsi="Times New Roman"/>
          <w:iCs/>
          <w:sz w:val="24"/>
        </w:rPr>
        <w:t>y, the initiatives to address the identified risks enhance clinical communications that guide care coordination</w:t>
      </w:r>
      <w:r w:rsidR="001544C3" w:rsidRPr="00502B38">
        <w:rPr>
          <w:rFonts w:ascii="Times New Roman" w:hAnsi="Times New Roman"/>
          <w:sz w:val="24"/>
        </w:rPr>
        <w:t xml:space="preserve"> </w:t>
      </w:r>
      <w:r w:rsidR="001544C3" w:rsidRPr="00502B38">
        <w:rPr>
          <w:rFonts w:ascii="Times New Roman" w:hAnsi="Times New Roman"/>
          <w:iCs/>
          <w:sz w:val="24"/>
        </w:rPr>
        <w:t>(Young &amp; Nesbitt, 2017)</w:t>
      </w:r>
      <w:r w:rsidRPr="00502B38">
        <w:rPr>
          <w:rFonts w:ascii="Times New Roman" w:hAnsi="Times New Roman"/>
          <w:iCs/>
          <w:sz w:val="24"/>
        </w:rPr>
        <w:t>. For instance, the EHR introduces special features that evaluate nurses' electronic communication status. This ensures t</w:t>
      </w:r>
      <w:r w:rsidRPr="00502B38">
        <w:rPr>
          <w:rFonts w:ascii="Times New Roman" w:hAnsi="Times New Roman"/>
          <w:iCs/>
          <w:sz w:val="24"/>
        </w:rPr>
        <w:t xml:space="preserve">hey attain feedback from patients and colleagues as they indicate when the message is delivered, opened, and acknowledged. Besides, </w:t>
      </w:r>
      <w:r w:rsidRPr="00502B38">
        <w:rPr>
          <w:rFonts w:ascii="Times New Roman" w:hAnsi="Times New Roman"/>
          <w:iCs/>
          <w:sz w:val="24"/>
        </w:rPr>
        <w:lastRenderedPageBreak/>
        <w:t>it inspires immediate response to emergencies, as the technology identifies urgent electronic messages. This is vital in car</w:t>
      </w:r>
      <w:r w:rsidRPr="00502B38">
        <w:rPr>
          <w:rFonts w:ascii="Times New Roman" w:hAnsi="Times New Roman"/>
          <w:iCs/>
          <w:sz w:val="24"/>
        </w:rPr>
        <w:t xml:space="preserve">e collaboration and coordination of clinical interventions. Lastly, the changes allow the EHR to display time-sensitive and time-critical information to inspire efficiency in clinical care. </w:t>
      </w:r>
    </w:p>
    <w:p w:rsidR="005D2CB4" w:rsidRPr="00502B38" w:rsidRDefault="00B433D2" w:rsidP="001544C3">
      <w:pPr>
        <w:pStyle w:val="Heading2"/>
        <w:spacing w:before="0" w:after="0" w:line="480" w:lineRule="auto"/>
        <w:rPr>
          <w:rFonts w:ascii="Times New Roman" w:hAnsi="Times New Roman" w:cs="Times New Roman"/>
          <w:sz w:val="24"/>
          <w:szCs w:val="24"/>
        </w:rPr>
      </w:pPr>
      <w:r w:rsidRPr="00502B38">
        <w:rPr>
          <w:rFonts w:ascii="Times New Roman" w:hAnsi="Times New Roman" w:cs="Times New Roman"/>
          <w:sz w:val="24"/>
          <w:szCs w:val="24"/>
        </w:rPr>
        <w:t>Change Management Strategies</w:t>
      </w:r>
    </w:p>
    <w:p w:rsidR="00087D91" w:rsidRPr="00502B38" w:rsidRDefault="00B433D2" w:rsidP="001544C3">
      <w:pPr>
        <w:spacing w:line="480" w:lineRule="auto"/>
        <w:rPr>
          <w:rFonts w:ascii="Times New Roman" w:hAnsi="Times New Roman"/>
          <w:iCs/>
          <w:sz w:val="24"/>
        </w:rPr>
      </w:pPr>
      <w:r w:rsidRPr="00502B38">
        <w:rPr>
          <w:rFonts w:ascii="Times New Roman" w:hAnsi="Times New Roman"/>
          <w:iCs/>
          <w:sz w:val="24"/>
        </w:rPr>
        <w:tab/>
        <w:t>The management must adopt appropria</w:t>
      </w:r>
      <w:r w:rsidRPr="00502B38">
        <w:rPr>
          <w:rFonts w:ascii="Times New Roman" w:hAnsi="Times New Roman"/>
          <w:iCs/>
          <w:sz w:val="24"/>
        </w:rPr>
        <w:t xml:space="preserve">te change management strategies to implement the proposed action plan. </w:t>
      </w:r>
      <w:r w:rsidR="002F1B4A" w:rsidRPr="00502B38">
        <w:rPr>
          <w:rFonts w:ascii="Times New Roman" w:hAnsi="Times New Roman"/>
          <w:iCs/>
          <w:sz w:val="24"/>
        </w:rPr>
        <w:t>This initiative must be team-based and organization-wide to incorporate different factors and diverse needs of the patients and clinicians. Therefore, the initial strategy entails proper planning to ensure the changes achieve desired goals and objectives</w:t>
      </w:r>
      <w:r w:rsidR="001544C3" w:rsidRPr="00502B38">
        <w:rPr>
          <w:rFonts w:ascii="Times New Roman" w:hAnsi="Times New Roman"/>
          <w:sz w:val="24"/>
        </w:rPr>
        <w:t xml:space="preserve"> </w:t>
      </w:r>
      <w:r w:rsidR="001544C3" w:rsidRPr="00502B38">
        <w:rPr>
          <w:rFonts w:ascii="Times New Roman" w:hAnsi="Times New Roman"/>
          <w:iCs/>
          <w:sz w:val="24"/>
        </w:rPr>
        <w:t>(Ginter et al., 2018)</w:t>
      </w:r>
      <w:r w:rsidR="002F1B4A" w:rsidRPr="00502B38">
        <w:rPr>
          <w:rFonts w:ascii="Times New Roman" w:hAnsi="Times New Roman"/>
          <w:iCs/>
          <w:sz w:val="24"/>
        </w:rPr>
        <w:t xml:space="preserve">. </w:t>
      </w:r>
      <w:r w:rsidR="001544C3" w:rsidRPr="00502B38">
        <w:rPr>
          <w:rFonts w:ascii="Times New Roman" w:hAnsi="Times New Roman"/>
          <w:iCs/>
          <w:sz w:val="24"/>
        </w:rPr>
        <w:t>In</w:t>
      </w:r>
      <w:r w:rsidR="00815035" w:rsidRPr="00502B38">
        <w:rPr>
          <w:rFonts w:ascii="Times New Roman" w:hAnsi="Times New Roman"/>
          <w:iCs/>
          <w:sz w:val="24"/>
        </w:rPr>
        <w:t xml:space="preserve"> this case, the management evaluates the proposed project to determine the timeline, deliverables, and possible concerns. Secondly, the strategy of constant communication enhances team coordination during change execution. It informs clinicians about the project and convinces the clients of the appropriateness of these changes. Additionally, it provides a roadmap that guides the teams toward attaining the set goals and objectives. </w:t>
      </w:r>
      <w:r w:rsidR="002F1B4A" w:rsidRPr="00502B38">
        <w:rPr>
          <w:rFonts w:ascii="Times New Roman" w:hAnsi="Times New Roman"/>
          <w:iCs/>
          <w:sz w:val="24"/>
        </w:rPr>
        <w:t xml:space="preserve"> </w:t>
      </w:r>
    </w:p>
    <w:p w:rsidR="00815035" w:rsidRPr="00502B38" w:rsidRDefault="00B433D2" w:rsidP="001544C3">
      <w:pPr>
        <w:spacing w:line="480" w:lineRule="auto"/>
        <w:rPr>
          <w:rFonts w:ascii="Times New Roman" w:hAnsi="Times New Roman"/>
          <w:iCs/>
          <w:sz w:val="24"/>
        </w:rPr>
      </w:pPr>
      <w:r w:rsidRPr="00502B38">
        <w:rPr>
          <w:rFonts w:ascii="Times New Roman" w:hAnsi="Times New Roman"/>
          <w:iCs/>
          <w:sz w:val="24"/>
        </w:rPr>
        <w:tab/>
      </w:r>
      <w:r w:rsidR="00835E19" w:rsidRPr="00502B38">
        <w:rPr>
          <w:rFonts w:ascii="Times New Roman" w:hAnsi="Times New Roman"/>
          <w:iCs/>
          <w:sz w:val="24"/>
        </w:rPr>
        <w:t xml:space="preserve">Thirdly, the change management strategy entails training and employee empowerment to understand the shifts in technologies and processes. In this case, the team must demonstrate competency to facilitate clinical activities using the new procedures. Similarly, capacity building inspires individuals who are reluctant to accept </w:t>
      </w:r>
      <w:r w:rsidR="00E3237C" w:rsidRPr="00502B38">
        <w:rPr>
          <w:rFonts w:ascii="Times New Roman" w:hAnsi="Times New Roman"/>
          <w:iCs/>
          <w:sz w:val="24"/>
        </w:rPr>
        <w:t>and a</w:t>
      </w:r>
      <w:r w:rsidR="00835E19" w:rsidRPr="00502B38">
        <w:rPr>
          <w:rFonts w:ascii="Times New Roman" w:hAnsi="Times New Roman"/>
          <w:iCs/>
          <w:sz w:val="24"/>
        </w:rPr>
        <w:t>dopt the proposed changes</w:t>
      </w:r>
      <w:r w:rsidR="001544C3" w:rsidRPr="00502B38">
        <w:rPr>
          <w:rFonts w:ascii="Times New Roman" w:hAnsi="Times New Roman"/>
          <w:sz w:val="24"/>
        </w:rPr>
        <w:t xml:space="preserve"> </w:t>
      </w:r>
      <w:r w:rsidR="001544C3" w:rsidRPr="00502B38">
        <w:rPr>
          <w:rFonts w:ascii="Times New Roman" w:hAnsi="Times New Roman"/>
          <w:iCs/>
          <w:sz w:val="24"/>
        </w:rPr>
        <w:t>(Ginter et al., 2018)</w:t>
      </w:r>
      <w:r w:rsidR="00835E19" w:rsidRPr="00502B38">
        <w:rPr>
          <w:rFonts w:ascii="Times New Roman" w:hAnsi="Times New Roman"/>
          <w:iCs/>
          <w:sz w:val="24"/>
        </w:rPr>
        <w:t xml:space="preserve">. </w:t>
      </w:r>
      <w:r w:rsidR="00E3237C" w:rsidRPr="00502B38">
        <w:rPr>
          <w:rFonts w:ascii="Times New Roman" w:hAnsi="Times New Roman"/>
          <w:iCs/>
          <w:sz w:val="24"/>
        </w:rPr>
        <w:t>It also elevates skills in employees with limited abilities to ensure successful project implementation. Fourthly, the change management strategies entail active leadership to guide and motivate the team and clients to adopt the proposed changes</w:t>
      </w:r>
      <w:r w:rsidR="001544C3" w:rsidRPr="00502B38">
        <w:rPr>
          <w:rFonts w:ascii="Times New Roman" w:hAnsi="Times New Roman"/>
          <w:sz w:val="24"/>
        </w:rPr>
        <w:t xml:space="preserve"> </w:t>
      </w:r>
      <w:r w:rsidR="001544C3" w:rsidRPr="00502B38">
        <w:rPr>
          <w:rFonts w:ascii="Times New Roman" w:hAnsi="Times New Roman"/>
          <w:iCs/>
          <w:sz w:val="24"/>
        </w:rPr>
        <w:t>(Ginter et al., 2018)</w:t>
      </w:r>
      <w:r w:rsidR="00E3237C" w:rsidRPr="00502B38">
        <w:rPr>
          <w:rFonts w:ascii="Times New Roman" w:hAnsi="Times New Roman"/>
          <w:iCs/>
          <w:sz w:val="24"/>
        </w:rPr>
        <w:t xml:space="preserve">. </w:t>
      </w:r>
      <w:r w:rsidR="001544C3" w:rsidRPr="00502B38">
        <w:rPr>
          <w:rFonts w:ascii="Times New Roman" w:hAnsi="Times New Roman"/>
          <w:iCs/>
          <w:sz w:val="24"/>
        </w:rPr>
        <w:t>Lastly</w:t>
      </w:r>
      <w:r w:rsidR="00E3237C" w:rsidRPr="00502B38">
        <w:rPr>
          <w:rFonts w:ascii="Times New Roman" w:hAnsi="Times New Roman"/>
          <w:iCs/>
          <w:sz w:val="24"/>
        </w:rPr>
        <w:t xml:space="preserve">, it mandates monitoring and evaluation to identify and address potential concerns. </w:t>
      </w:r>
    </w:p>
    <w:p w:rsidR="001544C3" w:rsidRPr="00502B38" w:rsidRDefault="001544C3" w:rsidP="001544C3">
      <w:pPr>
        <w:spacing w:line="480" w:lineRule="auto"/>
        <w:rPr>
          <w:rFonts w:ascii="Times New Roman" w:hAnsi="Times New Roman"/>
          <w:iCs/>
          <w:sz w:val="24"/>
        </w:rPr>
      </w:pPr>
    </w:p>
    <w:p w:rsidR="001544C3" w:rsidRPr="00502B38" w:rsidRDefault="00B433D2" w:rsidP="001544C3">
      <w:pPr>
        <w:spacing w:line="480" w:lineRule="auto"/>
        <w:rPr>
          <w:rFonts w:ascii="Times New Roman" w:hAnsi="Times New Roman"/>
          <w:iCs/>
          <w:sz w:val="24"/>
        </w:rPr>
      </w:pPr>
      <w:r w:rsidRPr="00502B38">
        <w:rPr>
          <w:rFonts w:ascii="Times New Roman" w:hAnsi="Times New Roman"/>
          <w:iCs/>
          <w:sz w:val="24"/>
        </w:rPr>
        <w:br w:type="page"/>
      </w:r>
    </w:p>
    <w:p w:rsidR="001544C3" w:rsidRPr="00502B38" w:rsidRDefault="00B433D2" w:rsidP="001544C3">
      <w:pPr>
        <w:spacing w:line="480" w:lineRule="auto"/>
        <w:jc w:val="center"/>
        <w:rPr>
          <w:rFonts w:ascii="Times New Roman" w:hAnsi="Times New Roman"/>
          <w:iCs/>
          <w:sz w:val="24"/>
        </w:rPr>
      </w:pPr>
      <w:r w:rsidRPr="00502B38">
        <w:rPr>
          <w:rFonts w:ascii="Times New Roman" w:hAnsi="Times New Roman"/>
          <w:iCs/>
          <w:sz w:val="24"/>
        </w:rPr>
        <w:lastRenderedPageBreak/>
        <w:t>References</w:t>
      </w:r>
    </w:p>
    <w:p w:rsidR="001544C3" w:rsidRPr="00502B38" w:rsidRDefault="00B433D2" w:rsidP="001544C3">
      <w:pPr>
        <w:pStyle w:val="NormalWeb"/>
        <w:spacing w:before="0" w:beforeAutospacing="0" w:after="0" w:afterAutospacing="0" w:line="480" w:lineRule="auto"/>
        <w:ind w:left="720" w:hanging="720"/>
      </w:pPr>
      <w:r w:rsidRPr="00502B38">
        <w:t xml:space="preserve">American Psychological Association. (2017). Ethical Principles of Psychologists and Code of Conduct. </w:t>
      </w:r>
      <w:r w:rsidRPr="00502B38">
        <w:rPr>
          <w:i/>
          <w:iCs/>
        </w:rPr>
        <w:t>American Psychological Association</w:t>
      </w:r>
      <w:r w:rsidRPr="00502B38">
        <w:t xml:space="preserve">. </w:t>
      </w:r>
      <w:hyperlink r:id="rId12" w:history="1">
        <w:r w:rsidRPr="00502B38">
          <w:rPr>
            <w:rStyle w:val="Hyperlink"/>
          </w:rPr>
          <w:t>https://www.apa.org/ethics/code</w:t>
        </w:r>
      </w:hyperlink>
    </w:p>
    <w:p w:rsidR="001544C3" w:rsidRPr="00502B38" w:rsidRDefault="00B433D2" w:rsidP="001544C3">
      <w:pPr>
        <w:pStyle w:val="NormalWeb"/>
        <w:spacing w:before="0" w:beforeAutospacing="0" w:after="0" w:afterAutospacing="0" w:line="480" w:lineRule="auto"/>
        <w:ind w:left="720" w:hanging="720"/>
      </w:pPr>
      <w:r w:rsidRPr="00502B38">
        <w:t>Ginter, P. M., Duncan, W. J.</w:t>
      </w:r>
      <w:r w:rsidRPr="00502B38">
        <w:t xml:space="preserve">, &amp; Swayne, L. E. (2018). </w:t>
      </w:r>
      <w:r w:rsidRPr="00502B38">
        <w:rPr>
          <w:i/>
          <w:iCs/>
        </w:rPr>
        <w:t>Strategic Management of Health Care Organizations</w:t>
      </w:r>
      <w:r w:rsidRPr="00502B38">
        <w:t xml:space="preserve"> (8th ed.). Wiley.</w:t>
      </w:r>
    </w:p>
    <w:p w:rsidR="001544C3" w:rsidRPr="00502B38" w:rsidRDefault="00B433D2" w:rsidP="001544C3">
      <w:pPr>
        <w:pStyle w:val="NormalWeb"/>
        <w:spacing w:before="0" w:beforeAutospacing="0" w:after="0" w:afterAutospacing="0" w:line="480" w:lineRule="auto"/>
        <w:ind w:left="720" w:hanging="720"/>
      </w:pPr>
      <w:r w:rsidRPr="00502B38">
        <w:t>Jara, A. J., Zamora, M. A., &amp; Skarmeta, A. F. (2012). Drug identification and interaction checker based on IoT to minimize adverse drug reactions and improve drug</w:t>
      </w:r>
      <w:r w:rsidRPr="00502B38">
        <w:t xml:space="preserve"> compliance. </w:t>
      </w:r>
      <w:r w:rsidRPr="00502B38">
        <w:rPr>
          <w:i/>
          <w:iCs/>
        </w:rPr>
        <w:t>Personal and Ubiquitous Computing</w:t>
      </w:r>
      <w:r w:rsidRPr="00502B38">
        <w:t xml:space="preserve">, </w:t>
      </w:r>
      <w:r w:rsidRPr="00502B38">
        <w:rPr>
          <w:i/>
          <w:iCs/>
        </w:rPr>
        <w:t>18</w:t>
      </w:r>
      <w:r w:rsidRPr="00502B38">
        <w:t xml:space="preserve">(1), 5–17. </w:t>
      </w:r>
      <w:hyperlink r:id="rId13" w:history="1">
        <w:r w:rsidRPr="00502B38">
          <w:rPr>
            <w:rStyle w:val="Hyperlink"/>
          </w:rPr>
          <w:t>https://doi.org/10.1007/s00779-012-0622-2</w:t>
        </w:r>
      </w:hyperlink>
    </w:p>
    <w:p w:rsidR="001544C3" w:rsidRPr="00502B38" w:rsidRDefault="00B433D2" w:rsidP="001544C3">
      <w:pPr>
        <w:pStyle w:val="NormalWeb"/>
        <w:spacing w:before="0" w:beforeAutospacing="0" w:after="0" w:afterAutospacing="0" w:line="480" w:lineRule="auto"/>
        <w:ind w:left="720" w:hanging="720"/>
      </w:pPr>
      <w:r w:rsidRPr="00502B38">
        <w:t>Young, H. M., &amp; Nesbitt, T. S. (2017). Increasing the Capacity of Primary Care Through Enabling T</w:t>
      </w:r>
      <w:r w:rsidRPr="00502B38">
        <w:t xml:space="preserve">echnology. </w:t>
      </w:r>
      <w:r w:rsidRPr="00502B38">
        <w:rPr>
          <w:i/>
          <w:iCs/>
        </w:rPr>
        <w:t>Journal of General Internal Medicine</w:t>
      </w:r>
      <w:r w:rsidRPr="00502B38">
        <w:t xml:space="preserve">, </w:t>
      </w:r>
      <w:r w:rsidRPr="00502B38">
        <w:rPr>
          <w:i/>
          <w:iCs/>
        </w:rPr>
        <w:t>32</w:t>
      </w:r>
      <w:r w:rsidRPr="00502B38">
        <w:t xml:space="preserve">(4), 398–403. </w:t>
      </w:r>
      <w:hyperlink r:id="rId14" w:history="1">
        <w:r w:rsidRPr="00502B38">
          <w:rPr>
            <w:rStyle w:val="Hyperlink"/>
          </w:rPr>
          <w:t>https://doi.org/10.1007/s11606-016-3952-3</w:t>
        </w:r>
      </w:hyperlink>
    </w:p>
    <w:p w:rsidR="001544C3" w:rsidRPr="00502B38" w:rsidRDefault="001544C3" w:rsidP="001544C3">
      <w:pPr>
        <w:pStyle w:val="NormalWeb"/>
        <w:spacing w:before="0" w:beforeAutospacing="0" w:after="0" w:afterAutospacing="0" w:line="480" w:lineRule="auto"/>
        <w:ind w:left="720" w:hanging="720"/>
      </w:pPr>
    </w:p>
    <w:p w:rsidR="001544C3" w:rsidRPr="00502B38" w:rsidRDefault="001544C3" w:rsidP="001544C3">
      <w:pPr>
        <w:spacing w:line="480" w:lineRule="auto"/>
        <w:rPr>
          <w:rFonts w:ascii="Times New Roman" w:hAnsi="Times New Roman"/>
          <w:iCs/>
          <w:sz w:val="24"/>
        </w:rPr>
      </w:pPr>
    </w:p>
    <w:sectPr w:rsidR="001544C3" w:rsidRPr="00502B38" w:rsidSect="005D2CB4">
      <w:headerReference w:type="even" r:id="rId15"/>
      <w:headerReference w:type="default" r:id="rId16"/>
      <w:footerReference w:type="even" r:id="rId17"/>
      <w:footerReference w:type="default" r:id="rId18"/>
      <w:headerReference w:type="first" r:id="rId19"/>
      <w:footerReference w:type="first" r:id="rId20"/>
      <w:pgSz w:w="15840" w:h="12240" w:orient="landscape"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33D2" w:rsidRDefault="00B433D2" w:rsidP="00DB4A2B">
      <w:r>
        <w:separator/>
      </w:r>
    </w:p>
  </w:endnote>
  <w:endnote w:type="continuationSeparator" w:id="1">
    <w:p w:rsidR="00B433D2" w:rsidRDefault="00B433D2" w:rsidP="00DB4A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4B1" w:rsidRDefault="000314B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53A" w:rsidRPr="009E5038" w:rsidRDefault="00DB4A2B" w:rsidP="0019353A">
    <w:pPr>
      <w:pStyle w:val="Footer"/>
      <w:pBdr>
        <w:top w:val="single" w:sz="12" w:space="3" w:color="808080"/>
      </w:pBdr>
      <w:tabs>
        <w:tab w:val="clear" w:pos="4320"/>
        <w:tab w:val="clear" w:pos="8640"/>
        <w:tab w:val="right" w:pos="9360"/>
      </w:tabs>
      <w:jc w:val="right"/>
    </w:pPr>
    <w:r w:rsidRPr="009E5038">
      <w:rPr>
        <w:rStyle w:val="PageNumber"/>
      </w:rPr>
      <w:fldChar w:fldCharType="begin"/>
    </w:r>
    <w:r w:rsidR="00B433D2" w:rsidRPr="009E5038">
      <w:rPr>
        <w:rStyle w:val="PageNumber"/>
      </w:rPr>
      <w:instrText xml:space="preserve"> PAGE </w:instrText>
    </w:r>
    <w:r w:rsidRPr="009E5038">
      <w:rPr>
        <w:rStyle w:val="PageNumber"/>
      </w:rPr>
      <w:fldChar w:fldCharType="separate"/>
    </w:r>
    <w:r w:rsidR="00502B38">
      <w:rPr>
        <w:rStyle w:val="PageNumber"/>
        <w:noProof/>
      </w:rPr>
      <w:t>1</w:t>
    </w:r>
    <w:r w:rsidRPr="009E5038">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53A" w:rsidRPr="009E5038" w:rsidRDefault="00DB4A2B" w:rsidP="0019353A">
    <w:pPr>
      <w:pStyle w:val="Footer"/>
      <w:pBdr>
        <w:top w:val="single" w:sz="12" w:space="3" w:color="808080"/>
      </w:pBdr>
      <w:tabs>
        <w:tab w:val="clear" w:pos="4320"/>
        <w:tab w:val="clear" w:pos="8640"/>
        <w:tab w:val="right" w:pos="9360"/>
      </w:tabs>
      <w:jc w:val="right"/>
    </w:pPr>
    <w:r w:rsidRPr="009E5038">
      <w:rPr>
        <w:rStyle w:val="PageNumber"/>
      </w:rPr>
      <w:fldChar w:fldCharType="begin"/>
    </w:r>
    <w:r w:rsidR="00B433D2" w:rsidRPr="009E5038">
      <w:rPr>
        <w:rStyle w:val="PageNumber"/>
      </w:rPr>
      <w:instrText xml:space="preserve"> PAGE </w:instrText>
    </w:r>
    <w:r w:rsidRPr="009E5038">
      <w:rPr>
        <w:rStyle w:val="PageNumber"/>
      </w:rPr>
      <w:fldChar w:fldCharType="separate"/>
    </w:r>
    <w:r w:rsidR="008B461A">
      <w:rPr>
        <w:rStyle w:val="PageNumber"/>
        <w:noProof/>
      </w:rPr>
      <w:t>1</w:t>
    </w:r>
    <w:r w:rsidRPr="009E5038">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33D2" w:rsidRDefault="00B433D2" w:rsidP="00DB4A2B">
      <w:r>
        <w:separator/>
      </w:r>
    </w:p>
  </w:footnote>
  <w:footnote w:type="continuationSeparator" w:id="1">
    <w:p w:rsidR="00B433D2" w:rsidRDefault="00B433D2" w:rsidP="00DB4A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4B1" w:rsidRDefault="000314B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61A" w:rsidRDefault="00B433D2" w:rsidP="008B461A">
    <w:pPr>
      <w:pStyle w:val="Header"/>
      <w:pBdr>
        <w:bottom w:val="single" w:sz="12" w:space="3" w:color="808080"/>
      </w:pBdr>
      <w:tabs>
        <w:tab w:val="clear" w:pos="4320"/>
        <w:tab w:val="clear" w:pos="8640"/>
        <w:tab w:val="right" w:pos="9360"/>
      </w:tabs>
    </w:pPr>
    <w:r>
      <w:rPr>
        <w:noProof/>
      </w:rPr>
      <w:drawing>
        <wp:inline distT="0" distB="0" distL="0" distR="0">
          <wp:extent cx="1783715" cy="378460"/>
          <wp:effectExtent l="0" t="0" r="6985" b="2540"/>
          <wp:docPr id="16" name="Picture 16" descr="Capella University"/>
          <wp:cNvGraphicFramePr/>
          <a:graphic xmlns:a="http://schemas.openxmlformats.org/drawingml/2006/main">
            <a:graphicData uri="http://schemas.openxmlformats.org/drawingml/2006/picture">
              <pic:pic xmlns:pic="http://schemas.openxmlformats.org/drawingml/2006/picture">
                <pic:nvPicPr>
                  <pic:cNvPr id="16" name="Picture 2"/>
                  <pic:cNvPicPr/>
                </pic:nvPicPr>
                <pic:blipFill>
                  <a:blip r:embed="rId1" cstate="print">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1783715" cy="378460"/>
                  </a:xfrm>
                  <a:prstGeom prst="rect">
                    <a:avLst/>
                  </a:prstGeom>
                </pic:spPr>
              </pic:pic>
            </a:graphicData>
          </a:graphic>
        </wp:inline>
      </w:drawing>
    </w:r>
    <w:r>
      <w:tab/>
    </w:r>
  </w:p>
  <w:p w:rsidR="0019353A" w:rsidRPr="008B461A" w:rsidRDefault="0019353A" w:rsidP="008B461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53A" w:rsidRDefault="00B433D2" w:rsidP="0019353A">
    <w:pPr>
      <w:pStyle w:val="Header"/>
      <w:pBdr>
        <w:bottom w:val="single" w:sz="12" w:space="3" w:color="808080"/>
      </w:pBdr>
      <w:tabs>
        <w:tab w:val="clear" w:pos="4320"/>
        <w:tab w:val="clear" w:pos="8640"/>
        <w:tab w:val="right" w:pos="9360"/>
      </w:tabs>
    </w:pPr>
    <w:r>
      <w:rPr>
        <w:noProof/>
      </w:rPr>
      <w:drawing>
        <wp:inline distT="0" distB="0" distL="0" distR="0">
          <wp:extent cx="1783715" cy="378460"/>
          <wp:effectExtent l="0" t="0" r="6985" b="2540"/>
          <wp:docPr id="17" name="Picture 17" descr="Capella University"/>
          <wp:cNvGraphicFramePr/>
          <a:graphic xmlns:a="http://schemas.openxmlformats.org/drawingml/2006/main">
            <a:graphicData uri="http://schemas.openxmlformats.org/drawingml/2006/picture">
              <pic:pic xmlns:pic="http://schemas.openxmlformats.org/drawingml/2006/picture">
                <pic:nvPicPr>
                  <pic:cNvPr id="17" name="Picture 2"/>
                  <pic:cNvPicPr/>
                </pic:nvPicPr>
                <pic:blipFill>
                  <a:blip r:embed="rId1" cstate="print">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1783715" cy="378460"/>
                  </a:xfrm>
                  <a:prstGeom prst="rect">
                    <a:avLst/>
                  </a:prstGeom>
                </pic:spPr>
              </pic:pic>
            </a:graphicData>
          </a:graphic>
        </wp:inline>
      </w:drawing>
    </w:r>
    <w:r>
      <w:tab/>
    </w:r>
    <w:r w:rsidRPr="0019353A">
      <w:rPr>
        <w:b/>
        <w:color w:val="808080"/>
        <w:sz w:val="28"/>
        <w:szCs w:val="28"/>
      </w:rPr>
      <w:t>Remove</w:t>
    </w:r>
    <w:r w:rsidRPr="0019353A">
      <w:rPr>
        <w:b/>
        <w:color w:val="808080"/>
        <w:sz w:val="28"/>
        <w:szCs w:val="28"/>
      </w:rPr>
      <w:t xml:space="preserve"> or Replace: Header Is Not Doc Title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27E2C"/>
    <w:multiLevelType w:val="hybridMultilevel"/>
    <w:tmpl w:val="6CC42E4C"/>
    <w:lvl w:ilvl="0" w:tplc="F26CC7A0">
      <w:start w:val="1"/>
      <w:numFmt w:val="bullet"/>
      <w:lvlText w:val=""/>
      <w:lvlJc w:val="left"/>
      <w:pPr>
        <w:ind w:left="720" w:hanging="360"/>
      </w:pPr>
      <w:rPr>
        <w:rFonts w:ascii="Symbol" w:hAnsi="Symbol" w:hint="default"/>
      </w:rPr>
    </w:lvl>
    <w:lvl w:ilvl="1" w:tplc="EB48B12C" w:tentative="1">
      <w:start w:val="1"/>
      <w:numFmt w:val="bullet"/>
      <w:lvlText w:val="o"/>
      <w:lvlJc w:val="left"/>
      <w:pPr>
        <w:ind w:left="1440" w:hanging="360"/>
      </w:pPr>
      <w:rPr>
        <w:rFonts w:ascii="Courier New" w:hAnsi="Courier New" w:cs="Courier New" w:hint="default"/>
      </w:rPr>
    </w:lvl>
    <w:lvl w:ilvl="2" w:tplc="59F0BCDE" w:tentative="1">
      <w:start w:val="1"/>
      <w:numFmt w:val="bullet"/>
      <w:lvlText w:val=""/>
      <w:lvlJc w:val="left"/>
      <w:pPr>
        <w:ind w:left="2160" w:hanging="360"/>
      </w:pPr>
      <w:rPr>
        <w:rFonts w:ascii="Wingdings" w:hAnsi="Wingdings" w:hint="default"/>
      </w:rPr>
    </w:lvl>
    <w:lvl w:ilvl="3" w:tplc="1FF41A7C" w:tentative="1">
      <w:start w:val="1"/>
      <w:numFmt w:val="bullet"/>
      <w:lvlText w:val=""/>
      <w:lvlJc w:val="left"/>
      <w:pPr>
        <w:ind w:left="2880" w:hanging="360"/>
      </w:pPr>
      <w:rPr>
        <w:rFonts w:ascii="Symbol" w:hAnsi="Symbol" w:hint="default"/>
      </w:rPr>
    </w:lvl>
    <w:lvl w:ilvl="4" w:tplc="8F5C323C" w:tentative="1">
      <w:start w:val="1"/>
      <w:numFmt w:val="bullet"/>
      <w:lvlText w:val="o"/>
      <w:lvlJc w:val="left"/>
      <w:pPr>
        <w:ind w:left="3600" w:hanging="360"/>
      </w:pPr>
      <w:rPr>
        <w:rFonts w:ascii="Courier New" w:hAnsi="Courier New" w:cs="Courier New" w:hint="default"/>
      </w:rPr>
    </w:lvl>
    <w:lvl w:ilvl="5" w:tplc="86A01DE4" w:tentative="1">
      <w:start w:val="1"/>
      <w:numFmt w:val="bullet"/>
      <w:lvlText w:val=""/>
      <w:lvlJc w:val="left"/>
      <w:pPr>
        <w:ind w:left="4320" w:hanging="360"/>
      </w:pPr>
      <w:rPr>
        <w:rFonts w:ascii="Wingdings" w:hAnsi="Wingdings" w:hint="default"/>
      </w:rPr>
    </w:lvl>
    <w:lvl w:ilvl="6" w:tplc="0242EB72" w:tentative="1">
      <w:start w:val="1"/>
      <w:numFmt w:val="bullet"/>
      <w:lvlText w:val=""/>
      <w:lvlJc w:val="left"/>
      <w:pPr>
        <w:ind w:left="5040" w:hanging="360"/>
      </w:pPr>
      <w:rPr>
        <w:rFonts w:ascii="Symbol" w:hAnsi="Symbol" w:hint="default"/>
      </w:rPr>
    </w:lvl>
    <w:lvl w:ilvl="7" w:tplc="377E685E" w:tentative="1">
      <w:start w:val="1"/>
      <w:numFmt w:val="bullet"/>
      <w:lvlText w:val="o"/>
      <w:lvlJc w:val="left"/>
      <w:pPr>
        <w:ind w:left="5760" w:hanging="360"/>
      </w:pPr>
      <w:rPr>
        <w:rFonts w:ascii="Courier New" w:hAnsi="Courier New" w:cs="Courier New" w:hint="default"/>
      </w:rPr>
    </w:lvl>
    <w:lvl w:ilvl="8" w:tplc="7F9C108A" w:tentative="1">
      <w:start w:val="1"/>
      <w:numFmt w:val="bullet"/>
      <w:lvlText w:val=""/>
      <w:lvlJc w:val="left"/>
      <w:pPr>
        <w:ind w:left="6480" w:hanging="360"/>
      </w:pPr>
      <w:rPr>
        <w:rFonts w:ascii="Wingdings" w:hAnsi="Wingdings" w:hint="default"/>
      </w:rPr>
    </w:lvl>
  </w:abstractNum>
  <w:abstractNum w:abstractNumId="1">
    <w:nsid w:val="55B962A9"/>
    <w:multiLevelType w:val="hybridMultilevel"/>
    <w:tmpl w:val="511CFF6E"/>
    <w:lvl w:ilvl="0" w:tplc="E9029EFC">
      <w:start w:val="1"/>
      <w:numFmt w:val="bullet"/>
      <w:lvlText w:val=""/>
      <w:lvlJc w:val="left"/>
      <w:pPr>
        <w:ind w:left="720" w:hanging="360"/>
      </w:pPr>
      <w:rPr>
        <w:rFonts w:ascii="Symbol" w:hAnsi="Symbol" w:hint="default"/>
      </w:rPr>
    </w:lvl>
    <w:lvl w:ilvl="1" w:tplc="B226FB82" w:tentative="1">
      <w:start w:val="1"/>
      <w:numFmt w:val="bullet"/>
      <w:lvlText w:val="o"/>
      <w:lvlJc w:val="left"/>
      <w:pPr>
        <w:ind w:left="1440" w:hanging="360"/>
      </w:pPr>
      <w:rPr>
        <w:rFonts w:ascii="Courier New" w:hAnsi="Courier New" w:cs="Courier New" w:hint="default"/>
      </w:rPr>
    </w:lvl>
    <w:lvl w:ilvl="2" w:tplc="64CA1A9E" w:tentative="1">
      <w:start w:val="1"/>
      <w:numFmt w:val="bullet"/>
      <w:lvlText w:val=""/>
      <w:lvlJc w:val="left"/>
      <w:pPr>
        <w:ind w:left="2160" w:hanging="360"/>
      </w:pPr>
      <w:rPr>
        <w:rFonts w:ascii="Wingdings" w:hAnsi="Wingdings" w:hint="default"/>
      </w:rPr>
    </w:lvl>
    <w:lvl w:ilvl="3" w:tplc="75E68D8E" w:tentative="1">
      <w:start w:val="1"/>
      <w:numFmt w:val="bullet"/>
      <w:lvlText w:val=""/>
      <w:lvlJc w:val="left"/>
      <w:pPr>
        <w:ind w:left="2880" w:hanging="360"/>
      </w:pPr>
      <w:rPr>
        <w:rFonts w:ascii="Symbol" w:hAnsi="Symbol" w:hint="default"/>
      </w:rPr>
    </w:lvl>
    <w:lvl w:ilvl="4" w:tplc="E89437E6" w:tentative="1">
      <w:start w:val="1"/>
      <w:numFmt w:val="bullet"/>
      <w:lvlText w:val="o"/>
      <w:lvlJc w:val="left"/>
      <w:pPr>
        <w:ind w:left="3600" w:hanging="360"/>
      </w:pPr>
      <w:rPr>
        <w:rFonts w:ascii="Courier New" w:hAnsi="Courier New" w:cs="Courier New" w:hint="default"/>
      </w:rPr>
    </w:lvl>
    <w:lvl w:ilvl="5" w:tplc="EC4A5D7E" w:tentative="1">
      <w:start w:val="1"/>
      <w:numFmt w:val="bullet"/>
      <w:lvlText w:val=""/>
      <w:lvlJc w:val="left"/>
      <w:pPr>
        <w:ind w:left="4320" w:hanging="360"/>
      </w:pPr>
      <w:rPr>
        <w:rFonts w:ascii="Wingdings" w:hAnsi="Wingdings" w:hint="default"/>
      </w:rPr>
    </w:lvl>
    <w:lvl w:ilvl="6" w:tplc="2F262BAC" w:tentative="1">
      <w:start w:val="1"/>
      <w:numFmt w:val="bullet"/>
      <w:lvlText w:val=""/>
      <w:lvlJc w:val="left"/>
      <w:pPr>
        <w:ind w:left="5040" w:hanging="360"/>
      </w:pPr>
      <w:rPr>
        <w:rFonts w:ascii="Symbol" w:hAnsi="Symbol" w:hint="default"/>
      </w:rPr>
    </w:lvl>
    <w:lvl w:ilvl="7" w:tplc="D68E9B76" w:tentative="1">
      <w:start w:val="1"/>
      <w:numFmt w:val="bullet"/>
      <w:lvlText w:val="o"/>
      <w:lvlJc w:val="left"/>
      <w:pPr>
        <w:ind w:left="5760" w:hanging="360"/>
      </w:pPr>
      <w:rPr>
        <w:rFonts w:ascii="Courier New" w:hAnsi="Courier New" w:cs="Courier New" w:hint="default"/>
      </w:rPr>
    </w:lvl>
    <w:lvl w:ilvl="8" w:tplc="9F08A6F6" w:tentative="1">
      <w:start w:val="1"/>
      <w:numFmt w:val="bullet"/>
      <w:lvlText w:val=""/>
      <w:lvlJc w:val="left"/>
      <w:pPr>
        <w:ind w:left="6480" w:hanging="360"/>
      </w:pPr>
      <w:rPr>
        <w:rFonts w:ascii="Wingdings" w:hAnsi="Wingdings" w:hint="default"/>
      </w:rPr>
    </w:lvl>
  </w:abstractNum>
  <w:abstractNum w:abstractNumId="2">
    <w:nsid w:val="6DF93F3A"/>
    <w:multiLevelType w:val="multilevel"/>
    <w:tmpl w:val="194E3E12"/>
    <w:lvl w:ilvl="0">
      <w:start w:val="1"/>
      <w:numFmt w:val="bullet"/>
      <w:pStyle w:val="stylebulleted"/>
      <w:lvlText w:val=""/>
      <w:lvlJc w:val="left"/>
      <w:pPr>
        <w:tabs>
          <w:tab w:val="num" w:pos="360"/>
        </w:tabs>
        <w:ind w:left="360" w:hanging="360"/>
      </w:pPr>
      <w:rPr>
        <w:rFonts w:ascii="Symbol" w:hAnsi="Symbol"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
    <w:nsid w:val="73E84A9A"/>
    <w:multiLevelType w:val="hybridMultilevel"/>
    <w:tmpl w:val="7C123582"/>
    <w:lvl w:ilvl="0" w:tplc="A6F8FC2E">
      <w:start w:val="1"/>
      <w:numFmt w:val="decimal"/>
      <w:lvlText w:val="%1."/>
      <w:lvlJc w:val="left"/>
      <w:pPr>
        <w:ind w:left="720" w:hanging="360"/>
      </w:pPr>
    </w:lvl>
    <w:lvl w:ilvl="1" w:tplc="1D2EC58E" w:tentative="1">
      <w:start w:val="1"/>
      <w:numFmt w:val="lowerLetter"/>
      <w:lvlText w:val="%2."/>
      <w:lvlJc w:val="left"/>
      <w:pPr>
        <w:ind w:left="1440" w:hanging="360"/>
      </w:pPr>
    </w:lvl>
    <w:lvl w:ilvl="2" w:tplc="4BFC6B4A" w:tentative="1">
      <w:start w:val="1"/>
      <w:numFmt w:val="lowerRoman"/>
      <w:lvlText w:val="%3."/>
      <w:lvlJc w:val="right"/>
      <w:pPr>
        <w:ind w:left="2160" w:hanging="180"/>
      </w:pPr>
    </w:lvl>
    <w:lvl w:ilvl="3" w:tplc="740C66E8" w:tentative="1">
      <w:start w:val="1"/>
      <w:numFmt w:val="decimal"/>
      <w:lvlText w:val="%4."/>
      <w:lvlJc w:val="left"/>
      <w:pPr>
        <w:ind w:left="2880" w:hanging="360"/>
      </w:pPr>
    </w:lvl>
    <w:lvl w:ilvl="4" w:tplc="51D2530A" w:tentative="1">
      <w:start w:val="1"/>
      <w:numFmt w:val="lowerLetter"/>
      <w:lvlText w:val="%5."/>
      <w:lvlJc w:val="left"/>
      <w:pPr>
        <w:ind w:left="3600" w:hanging="360"/>
      </w:pPr>
    </w:lvl>
    <w:lvl w:ilvl="5" w:tplc="336C1E0E" w:tentative="1">
      <w:start w:val="1"/>
      <w:numFmt w:val="lowerRoman"/>
      <w:lvlText w:val="%6."/>
      <w:lvlJc w:val="right"/>
      <w:pPr>
        <w:ind w:left="4320" w:hanging="180"/>
      </w:pPr>
    </w:lvl>
    <w:lvl w:ilvl="6" w:tplc="6CD48D92" w:tentative="1">
      <w:start w:val="1"/>
      <w:numFmt w:val="decimal"/>
      <w:lvlText w:val="%7."/>
      <w:lvlJc w:val="left"/>
      <w:pPr>
        <w:ind w:left="5040" w:hanging="360"/>
      </w:pPr>
    </w:lvl>
    <w:lvl w:ilvl="7" w:tplc="8A0200A6" w:tentative="1">
      <w:start w:val="1"/>
      <w:numFmt w:val="lowerLetter"/>
      <w:lvlText w:val="%8."/>
      <w:lvlJc w:val="left"/>
      <w:pPr>
        <w:ind w:left="5760" w:hanging="360"/>
      </w:pPr>
    </w:lvl>
    <w:lvl w:ilvl="8" w:tplc="3AD8D9FA" w:tentative="1">
      <w:start w:val="1"/>
      <w:numFmt w:val="lowerRoman"/>
      <w:lvlText w:val="%9."/>
      <w:lvlJc w:val="right"/>
      <w:pPr>
        <w:ind w:left="6480" w:hanging="180"/>
      </w:pPr>
    </w:lvl>
  </w:abstractNum>
  <w:abstractNum w:abstractNumId="4">
    <w:nsid w:val="741F264A"/>
    <w:multiLevelType w:val="multilevel"/>
    <w:tmpl w:val="7B96BC6A"/>
    <w:lvl w:ilvl="0">
      <w:start w:val="1"/>
      <w:numFmt w:val="decimal"/>
      <w:pStyle w:val="stylenumbered"/>
      <w:lvlText w:val="%1."/>
      <w:lvlJc w:val="left"/>
      <w:pPr>
        <w:tabs>
          <w:tab w:val="num" w:pos="720"/>
        </w:tabs>
        <w:ind w:left="720" w:hanging="360"/>
      </w:pPr>
      <w:rPr>
        <w:rFonts w:ascii="Arial" w:hAnsi="Arial" w:hint="default"/>
        <w:b w:val="0"/>
        <w:i w:val="0"/>
        <w:color w:val="auto"/>
        <w:sz w:val="22"/>
        <w:szCs w:val="20"/>
        <w:u w:val="none"/>
      </w:rPr>
    </w:lvl>
    <w:lvl w:ilvl="1">
      <w:start w:val="1"/>
      <w:numFmt w:val="bullet"/>
      <w:lvlText w:val=""/>
      <w:lvlJc w:val="left"/>
      <w:pPr>
        <w:tabs>
          <w:tab w:val="num" w:pos="1440"/>
        </w:tabs>
        <w:ind w:left="1440" w:hanging="360"/>
      </w:pPr>
      <w:rPr>
        <w:rFonts w:ascii="Symbol" w:hAnsi="Symbol"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rsids>
    <w:rsidRoot w:val="005B7B81"/>
    <w:rsid w:val="000209A9"/>
    <w:rsid w:val="000314B1"/>
    <w:rsid w:val="00085A33"/>
    <w:rsid w:val="00087D91"/>
    <w:rsid w:val="000B1F9D"/>
    <w:rsid w:val="001175F6"/>
    <w:rsid w:val="001544C3"/>
    <w:rsid w:val="00172A32"/>
    <w:rsid w:val="00191F09"/>
    <w:rsid w:val="0019353A"/>
    <w:rsid w:val="0022491A"/>
    <w:rsid w:val="00242852"/>
    <w:rsid w:val="0025623F"/>
    <w:rsid w:val="002B3EC0"/>
    <w:rsid w:val="002E5306"/>
    <w:rsid w:val="002F1B4A"/>
    <w:rsid w:val="002F5D66"/>
    <w:rsid w:val="0030779C"/>
    <w:rsid w:val="003106F6"/>
    <w:rsid w:val="00331E2D"/>
    <w:rsid w:val="00382E77"/>
    <w:rsid w:val="00392604"/>
    <w:rsid w:val="003957AE"/>
    <w:rsid w:val="003B6396"/>
    <w:rsid w:val="003F0EFB"/>
    <w:rsid w:val="00402F5A"/>
    <w:rsid w:val="00442481"/>
    <w:rsid w:val="004A7575"/>
    <w:rsid w:val="004D07A6"/>
    <w:rsid w:val="004E5957"/>
    <w:rsid w:val="004F5DDF"/>
    <w:rsid w:val="00502B38"/>
    <w:rsid w:val="00524F64"/>
    <w:rsid w:val="005B5899"/>
    <w:rsid w:val="005B7B81"/>
    <w:rsid w:val="005D2CB4"/>
    <w:rsid w:val="005F6E19"/>
    <w:rsid w:val="0061233D"/>
    <w:rsid w:val="0062776A"/>
    <w:rsid w:val="00627ACB"/>
    <w:rsid w:val="00666326"/>
    <w:rsid w:val="0067617E"/>
    <w:rsid w:val="00697B29"/>
    <w:rsid w:val="006A2F0E"/>
    <w:rsid w:val="006E5C0A"/>
    <w:rsid w:val="00705317"/>
    <w:rsid w:val="0074173C"/>
    <w:rsid w:val="007C6C25"/>
    <w:rsid w:val="00815035"/>
    <w:rsid w:val="008210A8"/>
    <w:rsid w:val="00825B29"/>
    <w:rsid w:val="00835E19"/>
    <w:rsid w:val="00895252"/>
    <w:rsid w:val="0089656A"/>
    <w:rsid w:val="008965F6"/>
    <w:rsid w:val="008A0D2E"/>
    <w:rsid w:val="008B461A"/>
    <w:rsid w:val="008E793E"/>
    <w:rsid w:val="008F648F"/>
    <w:rsid w:val="0097450F"/>
    <w:rsid w:val="00996595"/>
    <w:rsid w:val="009E40DF"/>
    <w:rsid w:val="009E5038"/>
    <w:rsid w:val="009E538F"/>
    <w:rsid w:val="00A41367"/>
    <w:rsid w:val="00A4404B"/>
    <w:rsid w:val="00A644FC"/>
    <w:rsid w:val="00A7349D"/>
    <w:rsid w:val="00A77CD9"/>
    <w:rsid w:val="00A865A8"/>
    <w:rsid w:val="00AC37A0"/>
    <w:rsid w:val="00B051AD"/>
    <w:rsid w:val="00B06FB3"/>
    <w:rsid w:val="00B341F2"/>
    <w:rsid w:val="00B433D2"/>
    <w:rsid w:val="00B4743C"/>
    <w:rsid w:val="00B824A1"/>
    <w:rsid w:val="00B93CA5"/>
    <w:rsid w:val="00BA0818"/>
    <w:rsid w:val="00BC73F1"/>
    <w:rsid w:val="00C34970"/>
    <w:rsid w:val="00C53117"/>
    <w:rsid w:val="00C601A3"/>
    <w:rsid w:val="00C63FDE"/>
    <w:rsid w:val="00C66FCB"/>
    <w:rsid w:val="00CA19D9"/>
    <w:rsid w:val="00D13D6E"/>
    <w:rsid w:val="00D43857"/>
    <w:rsid w:val="00D75DF9"/>
    <w:rsid w:val="00D9465E"/>
    <w:rsid w:val="00D95A66"/>
    <w:rsid w:val="00DA02DF"/>
    <w:rsid w:val="00DB4A2B"/>
    <w:rsid w:val="00DD7FBE"/>
    <w:rsid w:val="00E2548D"/>
    <w:rsid w:val="00E3237C"/>
    <w:rsid w:val="00EA3DFD"/>
    <w:rsid w:val="00F66F44"/>
    <w:rsid w:val="00F71ECE"/>
    <w:rsid w:val="00F91A0E"/>
    <w:rsid w:val="00FC3204"/>
    <w:rsid w:val="00FE7F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82E77"/>
    <w:rPr>
      <w:sz w:val="22"/>
      <w:szCs w:val="24"/>
    </w:rPr>
  </w:style>
  <w:style w:type="paragraph" w:styleId="Heading1">
    <w:name w:val="heading 1"/>
    <w:next w:val="BodyText"/>
    <w:link w:val="Heading1Char"/>
    <w:qFormat/>
    <w:rsid w:val="00382E77"/>
    <w:pPr>
      <w:pageBreakBefore/>
      <w:spacing w:before="240" w:after="120"/>
      <w:outlineLvl w:val="0"/>
    </w:pPr>
    <w:rPr>
      <w:b/>
      <w:sz w:val="36"/>
      <w:szCs w:val="18"/>
    </w:rPr>
  </w:style>
  <w:style w:type="paragraph" w:styleId="Heading2">
    <w:name w:val="heading 2"/>
    <w:next w:val="BodyText"/>
    <w:link w:val="Heading2Char"/>
    <w:qFormat/>
    <w:rsid w:val="00382E77"/>
    <w:pPr>
      <w:spacing w:before="360" w:after="60"/>
      <w:outlineLvl w:val="1"/>
    </w:pPr>
    <w:rPr>
      <w:rFonts w:cs="Arial"/>
      <w:b/>
      <w:bCs/>
      <w:color w:val="000000"/>
      <w:sz w:val="32"/>
      <w:szCs w:val="32"/>
    </w:rPr>
  </w:style>
  <w:style w:type="paragraph" w:styleId="Heading3">
    <w:name w:val="heading 3"/>
    <w:basedOn w:val="Normal"/>
    <w:next w:val="BodyText"/>
    <w:link w:val="Heading3Char"/>
    <w:qFormat/>
    <w:rsid w:val="00382E77"/>
    <w:pPr>
      <w:keepNext/>
      <w:spacing w:before="240" w:after="60"/>
      <w:outlineLvl w:val="2"/>
    </w:pPr>
    <w:rPr>
      <w:rFonts w:cs="Arial"/>
      <w:b/>
      <w:bCs/>
      <w:sz w:val="28"/>
      <w:szCs w:val="26"/>
    </w:rPr>
  </w:style>
  <w:style w:type="paragraph" w:styleId="Heading4">
    <w:name w:val="heading 4"/>
    <w:basedOn w:val="Normal"/>
    <w:next w:val="BodyText"/>
    <w:link w:val="Heading4Char"/>
    <w:qFormat/>
    <w:rsid w:val="00382E77"/>
    <w:pPr>
      <w:keepNext/>
      <w:spacing w:before="240" w:after="60"/>
      <w:outlineLvl w:val="3"/>
    </w:pPr>
    <w:rPr>
      <w:b/>
      <w:bCs/>
      <w:sz w:val="24"/>
      <w:szCs w:val="28"/>
    </w:rPr>
  </w:style>
  <w:style w:type="paragraph" w:styleId="Heading5">
    <w:name w:val="heading 5"/>
    <w:basedOn w:val="Normal"/>
    <w:next w:val="BodyText"/>
    <w:link w:val="Heading5Char"/>
    <w:qFormat/>
    <w:rsid w:val="00382E77"/>
    <w:pPr>
      <w:spacing w:before="240" w:after="60"/>
      <w:outlineLvl w:val="4"/>
    </w:pPr>
    <w:rPr>
      <w:b/>
      <w:bCs/>
      <w:iCs/>
      <w:szCs w:val="26"/>
    </w:rPr>
  </w:style>
  <w:style w:type="paragraph" w:styleId="Heading6">
    <w:name w:val="heading 6"/>
    <w:aliases w:val="apaindent"/>
    <w:basedOn w:val="Normal"/>
    <w:next w:val="Normal"/>
    <w:link w:val="Heading6Char"/>
    <w:qFormat/>
    <w:rsid w:val="00382E77"/>
    <w:pPr>
      <w:spacing w:before="120" w:after="60"/>
      <w:ind w:left="720" w:hanging="720"/>
      <w:outlineLvl w:val="5"/>
    </w:pPr>
    <w:rPr>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B341F2"/>
    <w:pPr>
      <w:spacing w:before="360"/>
      <w:ind w:left="720"/>
    </w:pPr>
    <w:rPr>
      <w:rFonts w:cs="Arial"/>
      <w:b/>
      <w:bCs/>
    </w:rPr>
  </w:style>
  <w:style w:type="paragraph" w:styleId="Header">
    <w:name w:val="header"/>
    <w:basedOn w:val="Normal"/>
    <w:rsid w:val="005B7B81"/>
    <w:pPr>
      <w:tabs>
        <w:tab w:val="center" w:pos="4320"/>
        <w:tab w:val="right" w:pos="8640"/>
      </w:tabs>
    </w:pPr>
  </w:style>
  <w:style w:type="paragraph" w:styleId="Footer">
    <w:name w:val="footer"/>
    <w:basedOn w:val="Normal"/>
    <w:rsid w:val="005B7B81"/>
    <w:pPr>
      <w:tabs>
        <w:tab w:val="center" w:pos="4320"/>
        <w:tab w:val="right" w:pos="8640"/>
      </w:tabs>
    </w:pPr>
  </w:style>
  <w:style w:type="paragraph" w:customStyle="1" w:styleId="HeaderTitle">
    <w:name w:val="HeaderTitle"/>
    <w:basedOn w:val="Normal"/>
    <w:rsid w:val="005B7B81"/>
    <w:pPr>
      <w:jc w:val="right"/>
    </w:pPr>
    <w:rPr>
      <w:rFonts w:cs="Arial"/>
      <w:b/>
      <w:color w:val="808080"/>
      <w:sz w:val="28"/>
    </w:rPr>
  </w:style>
  <w:style w:type="character" w:styleId="PageNumber">
    <w:name w:val="page number"/>
    <w:rsid w:val="005B7B81"/>
    <w:rPr>
      <w:rFonts w:ascii="Arial" w:hAnsi="Arial"/>
      <w:sz w:val="18"/>
    </w:rPr>
  </w:style>
  <w:style w:type="character" w:customStyle="1" w:styleId="Heading3Char">
    <w:name w:val="Heading 3 Char"/>
    <w:link w:val="Heading3"/>
    <w:rsid w:val="00382E77"/>
    <w:rPr>
      <w:rFonts w:ascii="Arial" w:hAnsi="Arial" w:cs="Arial"/>
      <w:b/>
      <w:bCs/>
      <w:sz w:val="28"/>
      <w:szCs w:val="26"/>
      <w:lang w:val="en-US" w:eastAsia="en-US" w:bidi="ar-SA"/>
    </w:rPr>
  </w:style>
  <w:style w:type="paragraph" w:customStyle="1" w:styleId="Body">
    <w:name w:val="Body"/>
    <w:basedOn w:val="Normal"/>
    <w:rsid w:val="00DD7FBE"/>
    <w:rPr>
      <w:rFonts w:cs="Courier New"/>
      <w:szCs w:val="20"/>
    </w:rPr>
  </w:style>
  <w:style w:type="paragraph" w:styleId="BalloonText">
    <w:name w:val="Balloon Text"/>
    <w:basedOn w:val="Normal"/>
    <w:link w:val="BalloonTextChar"/>
    <w:uiPriority w:val="99"/>
    <w:semiHidden/>
    <w:unhideWhenUsed/>
    <w:rsid w:val="00382E77"/>
    <w:rPr>
      <w:rFonts w:ascii="Tahoma" w:hAnsi="Tahoma" w:cs="Tahoma"/>
      <w:sz w:val="16"/>
      <w:szCs w:val="16"/>
    </w:rPr>
  </w:style>
  <w:style w:type="character" w:customStyle="1" w:styleId="BalloonTextChar">
    <w:name w:val="Balloon Text Char"/>
    <w:link w:val="BalloonText"/>
    <w:uiPriority w:val="99"/>
    <w:semiHidden/>
    <w:rsid w:val="00382E77"/>
    <w:rPr>
      <w:rFonts w:ascii="Tahoma" w:hAnsi="Tahoma" w:cs="Tahoma"/>
      <w:sz w:val="16"/>
      <w:szCs w:val="16"/>
    </w:rPr>
  </w:style>
  <w:style w:type="character" w:customStyle="1" w:styleId="Heading1Char">
    <w:name w:val="Heading 1 Char"/>
    <w:link w:val="Heading1"/>
    <w:rsid w:val="00382E77"/>
    <w:rPr>
      <w:b/>
      <w:sz w:val="36"/>
      <w:szCs w:val="18"/>
      <w:lang w:val="en-US" w:eastAsia="en-US" w:bidi="ar-SA"/>
    </w:rPr>
  </w:style>
  <w:style w:type="character" w:customStyle="1" w:styleId="Heading2Char">
    <w:name w:val="Heading 2 Char"/>
    <w:link w:val="Heading2"/>
    <w:rsid w:val="00382E77"/>
    <w:rPr>
      <w:rFonts w:cs="Arial"/>
      <w:b/>
      <w:bCs/>
      <w:color w:val="000000"/>
      <w:sz w:val="32"/>
      <w:szCs w:val="32"/>
      <w:lang w:val="en-US" w:eastAsia="en-US" w:bidi="ar-SA"/>
    </w:rPr>
  </w:style>
  <w:style w:type="character" w:customStyle="1" w:styleId="Heading4Char">
    <w:name w:val="Heading 4 Char"/>
    <w:link w:val="Heading4"/>
    <w:rsid w:val="00382E77"/>
    <w:rPr>
      <w:b/>
      <w:bCs/>
      <w:sz w:val="24"/>
      <w:szCs w:val="28"/>
    </w:rPr>
  </w:style>
  <w:style w:type="character" w:customStyle="1" w:styleId="Heading5Char">
    <w:name w:val="Heading 5 Char"/>
    <w:link w:val="Heading5"/>
    <w:rsid w:val="00382E77"/>
    <w:rPr>
      <w:b/>
      <w:bCs/>
      <w:iCs/>
      <w:szCs w:val="26"/>
    </w:rPr>
  </w:style>
  <w:style w:type="character" w:customStyle="1" w:styleId="Heading6Char">
    <w:name w:val="Heading 6 Char"/>
    <w:aliases w:val="apaindent Char"/>
    <w:link w:val="Heading6"/>
    <w:rsid w:val="00382E77"/>
    <w:rPr>
      <w:bCs/>
    </w:rPr>
  </w:style>
  <w:style w:type="paragraph" w:customStyle="1" w:styleId="stylebulleted">
    <w:name w:val="style bulleted"/>
    <w:basedOn w:val="BodyText"/>
    <w:qFormat/>
    <w:rsid w:val="00242852"/>
    <w:pPr>
      <w:numPr>
        <w:numId w:val="1"/>
      </w:numPr>
      <w:ind w:left="720"/>
    </w:pPr>
  </w:style>
  <w:style w:type="paragraph" w:customStyle="1" w:styleId="BodyText">
    <w:name w:val="BodyText"/>
    <w:link w:val="BodyTextChar"/>
    <w:qFormat/>
    <w:rsid w:val="00A77CD9"/>
    <w:pPr>
      <w:spacing w:before="120" w:after="240"/>
    </w:pPr>
    <w:rPr>
      <w:sz w:val="22"/>
      <w:szCs w:val="24"/>
    </w:rPr>
  </w:style>
  <w:style w:type="character" w:customStyle="1" w:styleId="BodyTextChar">
    <w:name w:val="BodyText Char"/>
    <w:link w:val="BodyText"/>
    <w:rsid w:val="00A77CD9"/>
    <w:rPr>
      <w:sz w:val="22"/>
      <w:szCs w:val="24"/>
    </w:rPr>
  </w:style>
  <w:style w:type="paragraph" w:customStyle="1" w:styleId="stylenumbered">
    <w:name w:val="style numbered"/>
    <w:basedOn w:val="BodyText"/>
    <w:link w:val="stylenumberedChar"/>
    <w:qFormat/>
    <w:rsid w:val="00382E77"/>
    <w:pPr>
      <w:numPr>
        <w:numId w:val="2"/>
      </w:numPr>
    </w:pPr>
  </w:style>
  <w:style w:type="character" w:customStyle="1" w:styleId="stylenumberedChar">
    <w:name w:val="style numbered Char"/>
    <w:link w:val="stylenumbered"/>
    <w:rsid w:val="00996595"/>
    <w:rPr>
      <w:sz w:val="22"/>
      <w:szCs w:val="24"/>
    </w:rPr>
  </w:style>
  <w:style w:type="table" w:styleId="TableGrid">
    <w:name w:val="Table Grid"/>
    <w:basedOn w:val="TableNormal"/>
    <w:uiPriority w:val="39"/>
    <w:rsid w:val="00331E2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31E2D"/>
    <w:pPr>
      <w:spacing w:after="200" w:line="276" w:lineRule="auto"/>
      <w:ind w:left="720"/>
      <w:contextualSpacing/>
    </w:pPr>
    <w:rPr>
      <w:rFonts w:ascii="Calibri" w:eastAsia="Calibri" w:hAnsi="Calibri"/>
      <w:szCs w:val="22"/>
    </w:rPr>
  </w:style>
  <w:style w:type="character" w:styleId="Emphasis">
    <w:name w:val="Emphasis"/>
    <w:uiPriority w:val="20"/>
    <w:qFormat/>
    <w:rsid w:val="00331E2D"/>
    <w:rPr>
      <w:i/>
      <w:iCs/>
    </w:rPr>
  </w:style>
  <w:style w:type="paragraph" w:styleId="NormalWeb">
    <w:name w:val="Normal (Web)"/>
    <w:basedOn w:val="Normal"/>
    <w:uiPriority w:val="99"/>
    <w:semiHidden/>
    <w:unhideWhenUsed/>
    <w:rsid w:val="001544C3"/>
    <w:pPr>
      <w:spacing w:before="100" w:beforeAutospacing="1" w:after="100" w:afterAutospacing="1"/>
    </w:pPr>
    <w:rPr>
      <w:rFonts w:ascii="Times New Roman" w:hAnsi="Times New Roman"/>
      <w:sz w:val="24"/>
    </w:rPr>
  </w:style>
  <w:style w:type="character" w:styleId="Hyperlink">
    <w:name w:val="Hyperlink"/>
    <w:basedOn w:val="DefaultParagraphFont"/>
    <w:uiPriority w:val="99"/>
    <w:unhideWhenUsed/>
    <w:rsid w:val="001544C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oi.org/10.1007/s00779-012-0622-2"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apa.org/ethics/cod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oi.org/10.1007/s11606-016-3952-3"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B61DE4DD959C14CA2F7158999EAC5E9" ma:contentTypeVersion="32" ma:contentTypeDescription="Upload a new document." ma:contentTypeScope="" ma:versionID="5b4ea6da87ebfee028a8193f50779173">
  <xsd:schema xmlns:xsd="http://www.w3.org/2001/XMLSchema" xmlns:xs="http://www.w3.org/2001/XMLSchema" xmlns:p="http://schemas.microsoft.com/office/2006/metadata/properties" xmlns:ns2="5e4971c3-e51e-4b79-b72e-27592945d111" xmlns:ns3="66fc4c51-a06b-4028-8bfa-8b81bc9c9589" targetNamespace="http://schemas.microsoft.com/office/2006/metadata/properties" ma:root="true" ma:fieldsID="cf29193c7e35bef5d92cf541b8044555" ns2:_="" ns3:_="">
    <xsd:import namespace="5e4971c3-e51e-4b79-b72e-27592945d111"/>
    <xsd:import namespace="66fc4c51-a06b-4028-8bfa-8b81bc9c9589"/>
    <xsd:element name="properties">
      <xsd:complexType>
        <xsd:sequence>
          <xsd:element name="documentManagement">
            <xsd:complexType>
              <xsd:all>
                <xsd:element ref="ns2:Title_x0020__x0028_with_x0020_link_x0020_to_x0020_document_x0029_" minOccurs="0"/>
                <xsd:element ref="ns2:Current_x0020_Doc_x0020_Owner" minOccurs="0"/>
                <xsd:element ref="ns2:Doc_x0020_Status" minOccurs="0"/>
                <xsd:element ref="ns2:Maintenance_x0020_Notes" minOccurs="0"/>
                <xsd:element ref="ns2:LinkID" minOccurs="0"/>
                <xsd:element ref="ns2:Description0" minOccurs="0"/>
                <xsd:element ref="ns2:School_x002d_Specific_x0020_Resources" minOccurs="0"/>
                <xsd:element ref="ns2:Keyword" minOccurs="0"/>
                <xsd:element ref="ns2:Add_x0020_to_x0020_Home_x0020_Page_x003f_" minOccurs="0"/>
                <xsd:element ref="ns2:UpdateRequested" minOccurs="0"/>
                <xsd:element ref="ns2:UpdateRequestNotes" minOccurs="0"/>
                <xsd:element ref="ns2:PublishingExpirationDate" minOccurs="0"/>
                <xsd:element ref="ns2:PublishingStartDat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4971c3-e51e-4b79-b72e-27592945d111" elementFormDefault="qualified">
    <xsd:import namespace="http://schemas.microsoft.com/office/2006/documentManagement/types"/>
    <xsd:import namespace="http://schemas.microsoft.com/office/infopath/2007/PartnerControls"/>
    <xsd:element name="Title_x0020__x0028_with_x0020_link_x0020_to_x0020_document_x0029_" ma:index="1" nillable="true" ma:displayName="Doc Title (with link)" ma:description="• Enter the following URL: &#10;https://strategicedinc.sharepoint.com/sites/DE/Documents/&#10;• Add your document's filename and extension to the end of this URL. &#10;• Type the doc title into the Alternative Text field." ma:format="Hyperlink" ma:internalName="Title_x0020__x0028_with_x0020_link_x0020_to_x0020_document_x0029_"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urrent_x0020_Doc_x0020_Owner" ma:index="2" nillable="true" ma:displayName="Owner" ma:default="_Select your name" ma:description="The doc owner is the person who created the doc or most recently updated it." ma:format="Dropdown" ma:internalName="Current_x0020_Doc_x0020_Owner">
      <xsd:simpleType>
        <xsd:union memberTypes="dms:Text">
          <xsd:simpleType>
            <xsd:restriction base="dms:Choice">
              <xsd:enumeration value="_Select your name"/>
              <xsd:enumeration value="Andrew"/>
              <xsd:enumeration value="Ann K."/>
              <xsd:enumeration value="Austin"/>
              <xsd:enumeration value="Brent"/>
              <xsd:enumeration value="Jeff"/>
              <xsd:enumeration value="Kathryn"/>
              <xsd:enumeration value="Keri"/>
              <xsd:enumeration value="Laura"/>
              <xsd:enumeration value="Rachel"/>
              <xsd:enumeration value="Samantha"/>
              <xsd:enumeration value="Stephanie"/>
              <xsd:enumeration value="Mary T."/>
              <xsd:enumeration value="All Team"/>
            </xsd:restriction>
          </xsd:simpleType>
        </xsd:union>
      </xsd:simpleType>
    </xsd:element>
    <xsd:element name="Doc_x0020_Status" ma:index="3" nillable="true" ma:displayName="Doc Status" ma:default="_" ma:format="RadioButtons" ma:internalName="Doc_x0020_Status" ma:readOnly="false">
      <xsd:simpleType>
        <xsd:restriction base="dms:Choice">
          <xsd:enumeration value="_"/>
          <xsd:enumeration value="Up to date."/>
          <xsd:enumeration value="Continuous maintenance."/>
          <xsd:enumeration value="Under construction."/>
          <xsd:enumeration value="To be archived."/>
          <xsd:enumeration value="Update is needed."/>
          <xsd:enumeration value="Update is pending."/>
        </xsd:restriction>
      </xsd:simpleType>
    </xsd:element>
    <xsd:element name="Maintenance_x0020_Notes" ma:index="4" nillable="true" ma:displayName="Maintenance Notes" ma:internalName="Maintenance_x0020_Notes" ma:readOnly="false">
      <xsd:simpleType>
        <xsd:restriction base="dms:Note">
          <xsd:maxLength value="255"/>
        </xsd:restriction>
      </xsd:simpleType>
    </xsd:element>
    <xsd:element name="LinkID" ma:index="5" nillable="true" ma:displayName="LinkID" ma:default="0" ma:internalName="LinkID" ma:readOnly="false" ma:percentage="FALSE">
      <xsd:simpleType>
        <xsd:restriction base="dms:Number"/>
      </xsd:simpleType>
    </xsd:element>
    <xsd:element name="Description0" ma:index="6" nillable="true" ma:displayName="Doc Description" ma:internalName="Description0" ma:readOnly="false">
      <xsd:simpleType>
        <xsd:restriction base="dms:Note">
          <xsd:maxLength value="255"/>
        </xsd:restriction>
      </xsd:simpleType>
    </xsd:element>
    <xsd:element name="School_x002d_Specific_x0020_Resources" ma:index="7" nillable="true" ma:displayName="Category" ma:description="Select the folder in which you want this link to appear." ma:internalName="School_x002d_Specific_x0020_Resources" ma:readOnly="false">
      <xsd:complexType>
        <xsd:complexContent>
          <xsd:extension base="dms:MultiChoice">
            <xsd:sequence>
              <xsd:element name="Value" maxOccurs="unbounded" minOccurs="0" nillable="true">
                <xsd:simpleType>
                  <xsd:restriction base="dms:Choice">
                    <xsd:enumeration value="Processes and Practices"/>
                    <xsd:enumeration value="Standards, Styles, and Templates"/>
                    <xsd:enumeration value="Special Course Elements"/>
                    <xsd:enumeration value="Course Materials and Media"/>
                    <xsd:enumeration value="Atlas"/>
                  </xsd:restriction>
                </xsd:simpleType>
              </xsd:element>
            </xsd:sequence>
          </xsd:extension>
        </xsd:complexContent>
      </xsd:complexType>
    </xsd:element>
    <xsd:element name="Keyword" ma:index="8" nillable="true" ma:displayName="Subcategory" ma:description="Identify the subcategory this resource should appear under." ma:internalName="Keyword" ma:readOnly="false">
      <xsd:complexType>
        <xsd:complexContent>
          <xsd:extension base="dms:MultiChoice">
            <xsd:sequence>
              <xsd:element name="Value" maxOccurs="unbounded" minOccurs="0" nillable="true">
                <xsd:simpleType>
                  <xsd:restriction base="dms:Choice">
                    <xsd:enumeration value="ADA"/>
                    <xsd:enumeration value="APA"/>
                    <xsd:enumeration value="Business Practices"/>
                    <xsd:enumeration value="Course Files"/>
                    <xsd:enumeration value="Course Materials"/>
                    <xsd:enumeration value="Inauthentic Content/Copyright"/>
                    <xsd:enumeration value="Matrices and Checklists"/>
                    <xsd:enumeration value="Media"/>
                    <xsd:enumeration value="FSSR (Minors)"/>
                    <xsd:enumeration value="Processes, Workflow, and Tracking"/>
                    <xsd:enumeration value="Quizzes"/>
                    <xsd:enumeration value="School-and Curriculum-based Elements"/>
                    <xsd:enumeration value="Standards"/>
                    <xsd:enumeration value="Styles"/>
                    <xsd:enumeration value="Technology-based Elements"/>
                    <xsd:enumeration value="Templates"/>
                  </xsd:restriction>
                </xsd:simpleType>
              </xsd:element>
            </xsd:sequence>
          </xsd:extension>
        </xsd:complexContent>
      </xsd:complexType>
    </xsd:element>
    <xsd:element name="Add_x0020_to_x0020_Home_x0020_Page_x003f_" ma:index="9" nillable="true" ma:displayName="Add to Home Page?" ma:default="0" ma:description="Click to have this document included as one of our most frequently used." ma:internalName="Add_x0020_to_x0020_Home_x0020_Page_x003f_" ma:readOnly="false">
      <xsd:simpleType>
        <xsd:restriction base="dms:Boolean"/>
      </xsd:simpleType>
    </xsd:element>
    <xsd:element name="UpdateRequested" ma:index="10" nillable="true" ma:displayName="Update Requested" ma:format="DateOnly" ma:internalName="UpdateRequested" ma:readOnly="false">
      <xsd:simpleType>
        <xsd:restriction base="dms:DateTime"/>
      </xsd:simpleType>
    </xsd:element>
    <xsd:element name="UpdateRequestNotes" ma:index="11" nillable="true" ma:displayName="Update Request Notes" ma:format="Dropdown" ma:internalName="UpdateRequestNotes" ma:readOnly="false">
      <xsd:simpleType>
        <xsd:restriction base="dms:Note">
          <xsd:maxLength value="255"/>
        </xsd:restriction>
      </xsd:simpleType>
    </xsd:element>
    <xsd:element name="PublishingExpirationDate" ma:index="17" nillable="true" ma:displayName="Scheduling End Date" ma:description="Scheduling End Date is a site column created by the Publishing feature. It is used to specify the date and time on which this page will no longer appear to site visitors." ma:format="DateTime" ma:hidden="true" ma:internalName="PublishingExpirationDate" ma:readOnly="false">
      <xsd:simpleType>
        <xsd:restriction base="dms:Unknown"/>
      </xsd:simpleType>
    </xsd:element>
    <xsd:element name="PublishingStartDate" ma:index="18" nillable="true" ma:displayName="Scheduling Start Date" ma:description="Scheduling Start Date is a site column created by the Publishing feature. It is used to specify the date and time on which this page will first appear to site visitors." ma:format="DateTime" ma:hidden="true" ma:internalName="PublishingStartDate" ma:readOnly="false">
      <xsd:simpleType>
        <xsd:restriction base="dms:Unknow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fc4c51-a06b-4028-8bfa-8b81bc9c9589" elementFormDefault="qualified">
    <xsd:import namespace="http://schemas.microsoft.com/office/2006/documentManagement/types"/>
    <xsd:import namespace="http://schemas.microsoft.com/office/infopath/2007/PartnerControls"/>
    <xsd:element name="SharedWithUsers" ma:index="2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Leave This Space Empty"/>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5e4971c3-e51e-4b79-b72e-27592945d111" xsi:nil="true"/>
    <PublishingStartDate xmlns="5e4971c3-e51e-4b79-b72e-27592945d111" xsi:nil="true"/>
    <School_x002d_Specific_x0020_Resources xmlns="5e4971c3-e51e-4b79-b72e-27592945d111">
      <Value>Standards, Styles, and Templates</Value>
    </School_x002d_Specific_x0020_Resources>
    <Keyword xmlns="5e4971c3-e51e-4b79-b72e-27592945d111">
      <Value>Templates</Value>
    </Keyword>
    <Add_x0020_to_x0020_Home_x0020_Page_x003f_ xmlns="5e4971c3-e51e-4b79-b72e-27592945d111">false</Add_x0020_to_x0020_Home_x0020_Page_x003f_>
    <Description0 xmlns="5e4971c3-e51e-4b79-b72e-27592945d111">With placeholder text only.</Description0>
    <Doc_x0020_Status xmlns="5e4971c3-e51e-4b79-b72e-27592945d111">Up to date.</Doc_x0020_Status>
    <Maintenance_x0020_Notes xmlns="5e4971c3-e51e-4b79-b72e-27592945d111">New Capella logo added 9/25/20.</Maintenance_x0020_Notes>
    <LinkID xmlns="5e4971c3-e51e-4b79-b72e-27592945d111">103</LinkID>
    <Current_x0020_Doc_x0020_Owner xmlns="5e4971c3-e51e-4b79-b72e-27592945d111">Austin</Current_x0020_Doc_x0020_Owner>
    <Title_x0020__x0028_with_x0020_link_x0020_to_x0020_document_x0029_ xmlns="5e4971c3-e51e-4b79-b72e-27592945d111">
      <Url>https://strategicedinc.sharepoint.com/sites/DE/Documents/course_files_template_portrait.docx</Url>
      <Description>Course Files Template (Portrait)</Description>
    </Title_x0020__x0028_with_x0020_link_x0020_to_x0020_document_x0029_>
    <UpdateRequestNotes xmlns="5e4971c3-e51e-4b79-b72e-27592945d111" xsi:nil="true"/>
    <UpdateRequested xmlns="5e4971c3-e51e-4b79-b72e-27592945d111" xsi:nil="true"/>
  </documentManagement>
</p:properties>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0E3B54D5-A927-485A-88AF-2D26BEBD82E2}">
  <ds:schemaRefs>
    <ds:schemaRef ds:uri="http://schemas.openxmlformats.org/officeDocument/2006/bibliography"/>
  </ds:schemaRefs>
</ds:datastoreItem>
</file>

<file path=customXml/itemProps2.xml><?xml version="1.0" encoding="utf-8"?>
<ds:datastoreItem xmlns:ds="http://schemas.openxmlformats.org/officeDocument/2006/customXml" ds:itemID="{3A8BF047-CF81-4F1D-9935-E0A3F41FC3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4971c3-e51e-4b79-b72e-27592945d111"/>
    <ds:schemaRef ds:uri="66fc4c51-a06b-4028-8bfa-8b81bc9c95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CC7528-D252-41FE-A787-42CA4C1918AF}">
  <ds:schemaRefs>
    <ds:schemaRef ds:uri="http://schemas.microsoft.com/office/2006/metadata/longProperties"/>
  </ds:schemaRefs>
</ds:datastoreItem>
</file>

<file path=customXml/itemProps4.xml><?xml version="1.0" encoding="utf-8"?>
<ds:datastoreItem xmlns:ds="http://schemas.openxmlformats.org/officeDocument/2006/customXml" ds:itemID="{D57F101F-3185-4125-8D5A-2E8B29E0CBE1}">
  <ds:schemaRefs>
    <ds:schemaRef ds:uri="http://schemas.microsoft.com/office/2006/metadata/properties"/>
    <ds:schemaRef ds:uri="http://schemas.microsoft.com/office/infopath/2007/PartnerControls"/>
    <ds:schemaRef ds:uri="5e4971c3-e51e-4b79-b72e-27592945d111"/>
  </ds:schemaRefs>
</ds:datastoreItem>
</file>

<file path=customXml/itemProps5.xml><?xml version="1.0" encoding="utf-8"?>
<ds:datastoreItem xmlns:ds="http://schemas.openxmlformats.org/officeDocument/2006/customXml" ds:itemID="{872F9765-3C06-4A7A-AA25-2D319CEBFB30}">
  <ds:schemaRefs>
    <ds:schemaRef ds:uri="http://schemas.microsoft.com/sharepoint/v3/contenttype/forms"/>
  </ds:schemaRefs>
</ds:datastoreItem>
</file>

<file path=docMetadata/LabelInfo.xml><?xml version="1.0" encoding="utf-8"?>
<clbl:labelList xmlns:clbl="http://schemas.microsoft.com/office/2020/mipLabelMetadata">
  <clbl:label id="{7f03627e-adeb-48d8-ae7e-238ae8a0adc7}" enabled="0" method="" siteId="{7f03627e-adeb-48d8-ae7e-238ae8a0adc7}" removed="1"/>
</clbl:labelList>
</file>

<file path=docProps/app.xml><?xml version="1.0" encoding="utf-8"?>
<Properties xmlns="http://schemas.openxmlformats.org/officeDocument/2006/extended-properties" xmlns:vt="http://schemas.openxmlformats.org/officeDocument/2006/docPropsVTypes">
  <Template>Normal</Template>
  <TotalTime>376</TotalTime>
  <Pages>8</Pages>
  <Words>1352</Words>
  <Characters>7713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Capella Education Company</Company>
  <LinksUpToDate>false</LinksUpToDate>
  <CharactersWithSpaces>9047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tleffler</dc:creator>
  <cp:lastModifiedBy>Windows User</cp:lastModifiedBy>
  <cp:revision>20</cp:revision>
  <cp:lastPrinted>2004-11-23T17:45:00Z</cp:lastPrinted>
  <dcterms:created xsi:type="dcterms:W3CDTF">2022-05-11T11:59:00Z</dcterms:created>
  <dcterms:modified xsi:type="dcterms:W3CDTF">2023-02-01T13:29:00Z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rchive This Doc">
    <vt:lpwstr>0</vt:lpwstr>
  </property>
  <property fmtid="{D5CDD505-2E9C-101B-9397-08002B2CF9AE}" pid="3" name="Celeste">
    <vt:lpwstr>0</vt:lpwstr>
  </property>
  <property fmtid="{D5CDD505-2E9C-101B-9397-08002B2CF9AE}" pid="4" name="Checklist">
    <vt:lpwstr>0</vt:lpwstr>
  </property>
  <property fmtid="{D5CDD505-2E9C-101B-9397-08002B2CF9AE}" pid="5" name="Choose Category (Left Nav)">
    <vt:lpwstr>;#Styles and Standards;#Celeste New and Revised;#Non-Celeste New and Revised;#</vt:lpwstr>
  </property>
  <property fmtid="{D5CDD505-2E9C-101B-9397-08002B2CF9AE}" pid="6" name="ContentType">
    <vt:lpwstr>Document</vt:lpwstr>
  </property>
  <property fmtid="{D5CDD505-2E9C-101B-9397-08002B2CF9AE}" pid="7" name="ContentTypeId">
    <vt:lpwstr>0x0101002B61DE4DD959C14CA2F7158999EAC5E9</vt:lpwstr>
  </property>
  <property fmtid="{D5CDD505-2E9C-101B-9397-08002B2CF9AE}" pid="8" name="Creating Links">
    <vt:lpwstr>0</vt:lpwstr>
  </property>
  <property fmtid="{D5CDD505-2E9C-101B-9397-08002B2CF9AE}" pid="9" name="Date Uploaded to Toolbox">
    <vt:lpwstr>2010-07-29T00:00:00Z</vt:lpwstr>
  </property>
  <property fmtid="{D5CDD505-2E9C-101B-9397-08002B2CF9AE}" pid="10" name="Department Info">
    <vt:lpwstr>0</vt:lpwstr>
  </property>
  <property fmtid="{D5CDD505-2E9C-101B-9397-08002B2CF9AE}" pid="11" name="display_urn:schemas-microsoft-com:office:office#Editor">
    <vt:lpwstr>Leffler, Tanya</vt:lpwstr>
  </property>
  <property fmtid="{D5CDD505-2E9C-101B-9397-08002B2CF9AE}" pid="12" name="Doc Team">
    <vt:lpwstr>Team 1</vt:lpwstr>
  </property>
  <property fmtid="{D5CDD505-2E9C-101B-9397-08002B2CF9AE}" pid="13" name="Doc Title with Link WIP">
    <vt:lpwstr>https://collaborate.capella.edu/nextgen/ngl1/editor_toolbox/All%20Documents/course_file_template_portrait.doc</vt:lpwstr>
  </property>
  <property fmtid="{D5CDD505-2E9C-101B-9397-08002B2CF9AE}" pid="14" name="Dreamweaver">
    <vt:lpwstr>0</vt:lpwstr>
  </property>
  <property fmtid="{D5CDD505-2E9C-101B-9397-08002B2CF9AE}" pid="15" name="Editricks">
    <vt:lpwstr>0</vt:lpwstr>
  </property>
  <property fmtid="{D5CDD505-2E9C-101B-9397-08002B2CF9AE}" pid="16" name="EmailCc">
    <vt:lpwstr/>
  </property>
  <property fmtid="{D5CDD505-2E9C-101B-9397-08002B2CF9AE}" pid="17" name="EmailFrom">
    <vt:lpwstr/>
  </property>
  <property fmtid="{D5CDD505-2E9C-101B-9397-08002B2CF9AE}" pid="18" name="EmailSender">
    <vt:lpwstr/>
  </property>
  <property fmtid="{D5CDD505-2E9C-101B-9397-08002B2CF9AE}" pid="19" name="EmailSubject">
    <vt:lpwstr/>
  </property>
  <property fmtid="{D5CDD505-2E9C-101B-9397-08002B2CF9AE}" pid="20" name="EmailTo">
    <vt:lpwstr/>
  </property>
  <property fmtid="{D5CDD505-2E9C-101B-9397-08002B2CF9AE}" pid="21" name="ePortfolio">
    <vt:lpwstr>0</vt:lpwstr>
  </property>
  <property fmtid="{D5CDD505-2E9C-101B-9397-08002B2CF9AE}" pid="22" name="Filename">
    <vt:lpwstr/>
  </property>
  <property fmtid="{D5CDD505-2E9C-101B-9397-08002B2CF9AE}" pid="23" name="Filename_test">
    <vt:lpwstr/>
  </property>
  <property fmtid="{D5CDD505-2E9C-101B-9397-08002B2CF9AE}" pid="24" name="Forms">
    <vt:lpwstr>1</vt:lpwstr>
  </property>
  <property fmtid="{D5CDD505-2E9C-101B-9397-08002B2CF9AE}" pid="25" name="Guidance">
    <vt:lpwstr>0</vt:lpwstr>
  </property>
  <property fmtid="{D5CDD505-2E9C-101B-9397-08002B2CF9AE}" pid="26" name="Media">
    <vt:lpwstr>0</vt:lpwstr>
  </property>
  <property fmtid="{D5CDD505-2E9C-101B-9397-08002B2CF9AE}" pid="27" name="Meetings Docs">
    <vt:lpwstr>0</vt:lpwstr>
  </property>
  <property fmtid="{D5CDD505-2E9C-101B-9397-08002B2CF9AE}" pid="28" name="Minors">
    <vt:lpwstr>0</vt:lpwstr>
  </property>
  <property fmtid="{D5CDD505-2E9C-101B-9397-08002B2CF9AE}" pid="29" name="New/Revised">
    <vt:lpwstr>0</vt:lpwstr>
  </property>
  <property fmtid="{D5CDD505-2E9C-101B-9397-08002B2CF9AE}" pid="30" name="Order">
    <vt:r8>17400</vt:r8>
  </property>
  <property fmtid="{D5CDD505-2E9C-101B-9397-08002B2CF9AE}" pid="31" name="Parts of the Course Test">
    <vt:lpwstr/>
  </property>
  <property fmtid="{D5CDD505-2E9C-101B-9397-08002B2CF9AE}" pid="32" name="SafeAssign">
    <vt:lpwstr>0</vt:lpwstr>
  </property>
  <property fmtid="{D5CDD505-2E9C-101B-9397-08002B2CF9AE}" pid="33" name="source_item_id">
    <vt:lpwstr>18</vt:lpwstr>
  </property>
  <property fmtid="{D5CDD505-2E9C-101B-9397-08002B2CF9AE}" pid="34" name="Standardized Language">
    <vt:lpwstr>0</vt:lpwstr>
  </property>
  <property fmtid="{D5CDD505-2E9C-101B-9397-08002B2CF9AE}" pid="35" name="Styles and Formatting">
    <vt:lpwstr>1</vt:lpwstr>
  </property>
  <property fmtid="{D5CDD505-2E9C-101B-9397-08002B2CF9AE}" pid="36" name="Styles and Standards Column">
    <vt:lpwstr/>
  </property>
  <property fmtid="{D5CDD505-2E9C-101B-9397-08002B2CF9AE}" pid="37" name="Sub-page">
    <vt:lpwstr>;#Styles, Formatting, and Templates;#</vt:lpwstr>
  </property>
  <property fmtid="{D5CDD505-2E9C-101B-9397-08002B2CF9AE}" pid="38" name="Technologies">
    <vt:lpwstr>0</vt:lpwstr>
  </property>
  <property fmtid="{D5CDD505-2E9C-101B-9397-08002B2CF9AE}" pid="39" name="TemplateUrl">
    <vt:lpwstr/>
  </property>
  <property fmtid="{D5CDD505-2E9C-101B-9397-08002B2CF9AE}" pid="40" name="The DERG">
    <vt:lpwstr>0</vt:lpwstr>
  </property>
  <property fmtid="{D5CDD505-2E9C-101B-9397-08002B2CF9AE}" pid="41" name="The Editor Role">
    <vt:lpwstr>0</vt:lpwstr>
  </property>
  <property fmtid="{D5CDD505-2E9C-101B-9397-08002B2CF9AE}" pid="42" name="Tool Instructions">
    <vt:lpwstr>0</vt:lpwstr>
  </property>
  <property fmtid="{D5CDD505-2E9C-101B-9397-08002B2CF9AE}" pid="43" name="VitalSource">
    <vt:lpwstr>0</vt:lpwstr>
  </property>
  <property fmtid="{D5CDD505-2E9C-101B-9397-08002B2CF9AE}" pid="44" name="VSS">
    <vt:lpwstr>0</vt:lpwstr>
  </property>
  <property fmtid="{D5CDD505-2E9C-101B-9397-08002B2CF9AE}" pid="45" name="Web Pages">
    <vt:lpwstr>0</vt:lpwstr>
  </property>
  <property fmtid="{D5CDD505-2E9C-101B-9397-08002B2CF9AE}" pid="46" name="WorkflowChangePath">
    <vt:lpwstr>a908e54d-bb11-4491-974d-87c7c5b26495,24;</vt:lpwstr>
  </property>
  <property fmtid="{D5CDD505-2E9C-101B-9397-08002B2CF9AE}" pid="47" name="xd_ProgID">
    <vt:lpwstr/>
  </property>
</Properties>
</file>