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2A" w:rsidRDefault="00744D2A" w:rsidP="00744D2A">
      <w:pPr>
        <w:rPr>
          <w:rFonts w:ascii="Times" w:eastAsia="Times New Roman" w:hAnsi="Times" w:cs="Times New Roman"/>
          <w:sz w:val="20"/>
          <w:szCs w:val="20"/>
        </w:rPr>
      </w:pPr>
      <w:r w:rsidRPr="00744D2A">
        <w:rPr>
          <w:rFonts w:ascii="Times" w:eastAsia="Times New Roman" w:hAnsi="Times" w:cs="Times New Roman"/>
          <w:sz w:val="20"/>
          <w:szCs w:val="20"/>
        </w:rPr>
        <w:t>The Per</w:t>
      </w:r>
      <w:r>
        <w:rPr>
          <w:rFonts w:ascii="Times" w:eastAsia="Times New Roman" w:hAnsi="Times" w:cs="Times New Roman"/>
          <w:sz w:val="20"/>
          <w:szCs w:val="20"/>
        </w:rPr>
        <w:t>suasive Reasoning and Fallacies-</w:t>
      </w:r>
      <w:r w:rsidRPr="00744D2A">
        <w:t xml:space="preserve"> </w:t>
      </w:r>
      <w:hyperlink r:id="rId5" w:history="1">
        <w:r w:rsidRPr="00072EAF">
          <w:rPr>
            <w:rStyle w:val="Hyperlink"/>
            <w:rFonts w:ascii="Times" w:eastAsia="Times New Roman" w:hAnsi="Times" w:cs="Times New Roman"/>
            <w:sz w:val="20"/>
            <w:szCs w:val="20"/>
          </w:rPr>
          <w:t>https://open.lib.umn.edu/communication/chapter/11-3-persuasive-reasoning-and-fallacies/</w:t>
        </w:r>
      </w:hyperlink>
    </w:p>
    <w:p w:rsidR="00744D2A" w:rsidRPr="00744D2A" w:rsidRDefault="00744D2A" w:rsidP="00744D2A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:rsidR="00BC67E5" w:rsidRDefault="00BC67E5"/>
    <w:sectPr w:rsidR="00BC67E5" w:rsidSect="00951F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2A"/>
    <w:rsid w:val="00744D2A"/>
    <w:rsid w:val="00951FF1"/>
    <w:rsid w:val="00B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F930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open.lib.umn.edu/communication/chapter/11-3-persuasive-reasoning-and-fallacie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1</cp:revision>
  <dcterms:created xsi:type="dcterms:W3CDTF">2023-05-04T07:18:00Z</dcterms:created>
  <dcterms:modified xsi:type="dcterms:W3CDTF">2023-05-04T07:18:00Z</dcterms:modified>
</cp:coreProperties>
</file>